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79" w:rsidRPr="005C0866" w:rsidRDefault="00685979" w:rsidP="00685979">
      <w:pPr>
        <w:pBdr>
          <w:bottom w:val="single" w:sz="12" w:space="1" w:color="auto"/>
        </w:pBdr>
        <w:spacing w:after="0" w:line="240" w:lineRule="auto"/>
        <w:rPr>
          <w:rFonts w:ascii="Times New Roman" w:hAnsi="Times New Roman"/>
          <w:b/>
          <w:sz w:val="24"/>
          <w:szCs w:val="24"/>
          <w:lang w:val="ru-RU"/>
        </w:rPr>
      </w:pPr>
      <w:r w:rsidRPr="005C0866">
        <w:rPr>
          <w:rFonts w:ascii="Times New Roman" w:hAnsi="Times New Roman"/>
          <w:b/>
          <w:sz w:val="24"/>
          <w:szCs w:val="24"/>
          <w:lang w:val="ru-RU"/>
        </w:rPr>
        <w:t>Среднесрочная стратегия бюджетных расходов по сектору</w:t>
      </w:r>
      <w:r w:rsidRPr="005C0866">
        <w:rPr>
          <w:rFonts w:ascii="Times New Roman" w:hAnsi="Times New Roman"/>
          <w:b/>
          <w:sz w:val="24"/>
          <w:szCs w:val="24"/>
          <w:lang w:val="ru-RU"/>
        </w:rPr>
        <w:br/>
        <w:t>«Государственное социальное страхование» на 20</w:t>
      </w:r>
      <w:r w:rsidR="00654CA7" w:rsidRPr="005C0866">
        <w:rPr>
          <w:rFonts w:ascii="Times New Roman" w:hAnsi="Times New Roman"/>
          <w:b/>
          <w:sz w:val="24"/>
          <w:szCs w:val="24"/>
          <w:lang w:val="ru-RU"/>
        </w:rPr>
        <w:t>2</w:t>
      </w:r>
      <w:r w:rsidR="00CA64FA" w:rsidRPr="005C0866">
        <w:rPr>
          <w:rFonts w:ascii="Times New Roman" w:hAnsi="Times New Roman"/>
          <w:b/>
          <w:sz w:val="24"/>
          <w:szCs w:val="24"/>
          <w:lang w:val="ru-RU"/>
        </w:rPr>
        <w:t>1</w:t>
      </w:r>
      <w:r w:rsidRPr="005C0866">
        <w:rPr>
          <w:rFonts w:ascii="Times New Roman" w:hAnsi="Times New Roman"/>
          <w:b/>
          <w:sz w:val="24"/>
          <w:szCs w:val="24"/>
          <w:lang w:val="ru-RU"/>
        </w:rPr>
        <w:t>-202</w:t>
      </w:r>
      <w:r w:rsidR="00CA64FA" w:rsidRPr="005C0866">
        <w:rPr>
          <w:rFonts w:ascii="Times New Roman" w:hAnsi="Times New Roman"/>
          <w:b/>
          <w:sz w:val="24"/>
          <w:szCs w:val="24"/>
          <w:lang w:val="ru-RU"/>
        </w:rPr>
        <w:t>3</w:t>
      </w:r>
      <w:r w:rsidRPr="005C0866">
        <w:rPr>
          <w:rFonts w:ascii="Times New Roman" w:hAnsi="Times New Roman"/>
          <w:b/>
          <w:sz w:val="24"/>
          <w:szCs w:val="24"/>
          <w:lang w:val="ru-RU"/>
        </w:rPr>
        <w:t xml:space="preserve"> гг.</w:t>
      </w:r>
    </w:p>
    <w:p w:rsidR="00685979" w:rsidRPr="005C0866" w:rsidRDefault="00685979" w:rsidP="00685979">
      <w:pPr>
        <w:spacing w:after="0" w:line="240" w:lineRule="auto"/>
        <w:ind w:firstLine="567"/>
        <w:jc w:val="both"/>
        <w:rPr>
          <w:rFonts w:ascii="Times New Roman" w:hAnsi="Times New Roman"/>
          <w:sz w:val="10"/>
          <w:szCs w:val="24"/>
          <w:lang w:val="ru-RU"/>
        </w:rPr>
      </w:pPr>
    </w:p>
    <w:p w:rsidR="00685979" w:rsidRPr="005C0866" w:rsidRDefault="00685979" w:rsidP="00685979">
      <w:pPr>
        <w:spacing w:after="0" w:line="240" w:lineRule="auto"/>
        <w:ind w:firstLine="567"/>
        <w:jc w:val="both"/>
        <w:rPr>
          <w:rFonts w:ascii="Times New Roman" w:hAnsi="Times New Roman"/>
          <w:b/>
          <w:sz w:val="24"/>
          <w:szCs w:val="24"/>
          <w:lang w:val="ru-RU"/>
        </w:rPr>
      </w:pPr>
      <w:r w:rsidRPr="005C0866">
        <w:rPr>
          <w:rFonts w:ascii="Times New Roman" w:hAnsi="Times New Roman"/>
          <w:b/>
          <w:sz w:val="24"/>
          <w:szCs w:val="24"/>
          <w:lang w:val="ru-RU"/>
        </w:rPr>
        <w:t>Введение</w:t>
      </w:r>
    </w:p>
    <w:p w:rsidR="00685979" w:rsidRPr="005C0866" w:rsidRDefault="00685979" w:rsidP="00685979">
      <w:pPr>
        <w:spacing w:after="0" w:line="240" w:lineRule="auto"/>
        <w:ind w:firstLine="567"/>
        <w:jc w:val="both"/>
        <w:rPr>
          <w:rFonts w:ascii="Times New Roman" w:hAnsi="Times New Roman"/>
          <w:sz w:val="24"/>
          <w:szCs w:val="24"/>
          <w:lang w:val="ru-RU"/>
        </w:rPr>
      </w:pPr>
      <w:r w:rsidRPr="005C0866">
        <w:rPr>
          <w:rFonts w:ascii="Times New Roman" w:hAnsi="Times New Roman"/>
          <w:sz w:val="24"/>
          <w:szCs w:val="24"/>
          <w:lang w:val="ru-RU"/>
        </w:rPr>
        <w:t>Социальный фонд Кыргызской Республики представляет секторальную стратегию в рамках Среднесрочного прогноза бюджета Кыргызской Республики на 20</w:t>
      </w:r>
      <w:r w:rsidR="00654CA7" w:rsidRPr="005C0866">
        <w:rPr>
          <w:rFonts w:ascii="Times New Roman" w:hAnsi="Times New Roman"/>
          <w:sz w:val="24"/>
          <w:szCs w:val="24"/>
          <w:lang w:val="ru-RU"/>
        </w:rPr>
        <w:t>2</w:t>
      </w:r>
      <w:r w:rsidR="00CA64FA" w:rsidRPr="005C0866">
        <w:rPr>
          <w:rFonts w:ascii="Times New Roman" w:hAnsi="Times New Roman"/>
          <w:sz w:val="24"/>
          <w:szCs w:val="24"/>
          <w:lang w:val="ru-RU"/>
        </w:rPr>
        <w:t>1</w:t>
      </w:r>
      <w:r w:rsidRPr="005C0866">
        <w:rPr>
          <w:rFonts w:ascii="Times New Roman" w:hAnsi="Times New Roman"/>
          <w:sz w:val="24"/>
          <w:szCs w:val="24"/>
          <w:lang w:val="ru-RU"/>
        </w:rPr>
        <w:t>-202</w:t>
      </w:r>
      <w:r w:rsidR="00CA64FA" w:rsidRPr="005C0866">
        <w:rPr>
          <w:rFonts w:ascii="Times New Roman" w:hAnsi="Times New Roman"/>
          <w:sz w:val="24"/>
          <w:szCs w:val="24"/>
          <w:lang w:val="ru-RU"/>
        </w:rPr>
        <w:t>3</w:t>
      </w:r>
      <w:r w:rsidRPr="005C0866">
        <w:rPr>
          <w:rFonts w:ascii="Times New Roman" w:hAnsi="Times New Roman"/>
          <w:sz w:val="24"/>
          <w:szCs w:val="24"/>
          <w:lang w:val="ru-RU"/>
        </w:rPr>
        <w:t> годы.</w:t>
      </w:r>
    </w:p>
    <w:p w:rsidR="00CA64FA" w:rsidRPr="005C0866" w:rsidRDefault="00CA64FA" w:rsidP="00685979">
      <w:pPr>
        <w:spacing w:after="0" w:line="240" w:lineRule="auto"/>
        <w:ind w:firstLine="567"/>
        <w:jc w:val="both"/>
        <w:rPr>
          <w:rFonts w:ascii="Times New Roman" w:hAnsi="Times New Roman"/>
          <w:sz w:val="10"/>
          <w:szCs w:val="24"/>
          <w:lang w:val="ru-RU"/>
        </w:rPr>
      </w:pPr>
    </w:p>
    <w:p w:rsidR="00CA64FA" w:rsidRPr="005C0866" w:rsidRDefault="00CA64FA" w:rsidP="00685979">
      <w:pPr>
        <w:spacing w:after="0" w:line="240" w:lineRule="auto"/>
        <w:ind w:firstLine="567"/>
        <w:jc w:val="both"/>
        <w:rPr>
          <w:rFonts w:ascii="Times New Roman" w:hAnsi="Times New Roman"/>
          <w:sz w:val="24"/>
          <w:szCs w:val="24"/>
          <w:lang w:val="ru-RU"/>
        </w:rPr>
      </w:pPr>
      <w:r w:rsidRPr="005C0866">
        <w:rPr>
          <w:rFonts w:ascii="Times New Roman" w:hAnsi="Times New Roman"/>
          <w:b/>
          <w:sz w:val="24"/>
          <w:szCs w:val="24"/>
          <w:lang w:val="ru-RU"/>
        </w:rPr>
        <w:t>Описание сектора</w:t>
      </w:r>
      <w:r w:rsidRPr="005C0866">
        <w:rPr>
          <w:rFonts w:ascii="Times New Roman" w:hAnsi="Times New Roman"/>
          <w:sz w:val="24"/>
          <w:szCs w:val="24"/>
          <w:lang w:val="ru-RU"/>
        </w:rPr>
        <w:t xml:space="preserve"> </w:t>
      </w:r>
    </w:p>
    <w:p w:rsidR="00685979" w:rsidRPr="005C0866" w:rsidRDefault="00685979" w:rsidP="00685979">
      <w:pPr>
        <w:spacing w:after="0" w:line="240" w:lineRule="auto"/>
        <w:ind w:firstLine="567"/>
        <w:jc w:val="both"/>
        <w:rPr>
          <w:rFonts w:ascii="Times New Roman" w:hAnsi="Times New Roman"/>
          <w:sz w:val="24"/>
          <w:szCs w:val="24"/>
          <w:lang w:val="ru-RU"/>
        </w:rPr>
      </w:pPr>
      <w:r w:rsidRPr="005C0866">
        <w:rPr>
          <w:rFonts w:ascii="Times New Roman" w:hAnsi="Times New Roman"/>
          <w:sz w:val="24"/>
          <w:szCs w:val="24"/>
          <w:lang w:val="ru-RU"/>
        </w:rPr>
        <w:t>Данная стратегия описывает программы бюджетных расходов в части средств, получаемых из республиканского бюджета на выплату базовой части пенсий, пенсий военнослужащих, льготных пенсий, надбавок и компенсаций к пенсиям.</w:t>
      </w:r>
    </w:p>
    <w:p w:rsidR="00685979" w:rsidRPr="005C0866" w:rsidRDefault="00685979" w:rsidP="00685979">
      <w:pPr>
        <w:spacing w:after="0" w:line="240" w:lineRule="auto"/>
        <w:ind w:firstLine="567"/>
        <w:rPr>
          <w:rFonts w:ascii="Times New Roman" w:hAnsi="Times New Roman"/>
          <w:b/>
          <w:sz w:val="10"/>
          <w:szCs w:val="24"/>
          <w:lang w:val="ru-RU"/>
        </w:rPr>
      </w:pPr>
    </w:p>
    <w:p w:rsidR="00685979" w:rsidRPr="005C0866" w:rsidRDefault="00685979" w:rsidP="00685979">
      <w:pPr>
        <w:spacing w:after="0" w:line="240" w:lineRule="auto"/>
        <w:ind w:firstLine="567"/>
        <w:jc w:val="both"/>
        <w:rPr>
          <w:rFonts w:ascii="Times New Roman" w:hAnsi="Times New Roman"/>
          <w:b/>
          <w:sz w:val="24"/>
          <w:szCs w:val="24"/>
          <w:lang w:val="ru-RU"/>
        </w:rPr>
      </w:pPr>
      <w:r w:rsidRPr="005C0866">
        <w:rPr>
          <w:rFonts w:ascii="Times New Roman" w:hAnsi="Times New Roman"/>
          <w:b/>
          <w:sz w:val="24"/>
          <w:szCs w:val="24"/>
          <w:lang w:val="ru-RU"/>
        </w:rPr>
        <w:t>Стратегическая цель сектора</w:t>
      </w:r>
    </w:p>
    <w:p w:rsidR="00685979" w:rsidRPr="005C0866" w:rsidRDefault="00685979" w:rsidP="00685979">
      <w:pPr>
        <w:spacing w:after="0" w:line="240" w:lineRule="auto"/>
        <w:ind w:firstLine="567"/>
        <w:jc w:val="both"/>
        <w:rPr>
          <w:rFonts w:ascii="Times New Roman" w:hAnsi="Times New Roman"/>
          <w:sz w:val="24"/>
          <w:szCs w:val="24"/>
          <w:lang w:val="ru-RU"/>
        </w:rPr>
      </w:pPr>
      <w:r w:rsidRPr="005C0866">
        <w:rPr>
          <w:rFonts w:ascii="Times New Roman" w:hAnsi="Times New Roman"/>
          <w:sz w:val="24"/>
          <w:szCs w:val="24"/>
          <w:lang w:val="ru-RU"/>
        </w:rPr>
        <w:t>Пенсионное обеспечение в силу своей социальной значимости играет важную роль в экономической, общественно-политической жизни и в финансово-бюджетной сфере государства. Пенсионная система органично связана с состоянием рынка труда и системой оплаты труда, налоговой и финансовой системами, а также с демографической и социально-экономической ситуацией в стране.</w:t>
      </w:r>
    </w:p>
    <w:p w:rsidR="00685979" w:rsidRPr="005C0866" w:rsidRDefault="00685979" w:rsidP="00685979">
      <w:pPr>
        <w:pStyle w:val="tkTekst"/>
        <w:spacing w:after="0" w:line="240" w:lineRule="auto"/>
        <w:rPr>
          <w:rFonts w:ascii="Times New Roman" w:hAnsi="Times New Roman" w:cs="Times New Roman"/>
          <w:sz w:val="24"/>
          <w:szCs w:val="24"/>
        </w:rPr>
      </w:pPr>
      <w:r w:rsidRPr="005C0866">
        <w:rPr>
          <w:rFonts w:ascii="Times New Roman" w:hAnsi="Times New Roman" w:cs="Times New Roman"/>
          <w:sz w:val="24"/>
          <w:szCs w:val="24"/>
        </w:rPr>
        <w:t>В соответствии с законодательством Кыргызской Республики в сфере пенсионного обеспечения право на пенсию имеют граждане Кыргызской Республики, иностранные граждане и лица без гражданства, проживающие в республике и уплачивающие страховые взносы.</w:t>
      </w:r>
    </w:p>
    <w:p w:rsidR="00685979" w:rsidRPr="005C0866" w:rsidRDefault="00685979" w:rsidP="00685979">
      <w:pPr>
        <w:pStyle w:val="tkTekst"/>
        <w:spacing w:after="0" w:line="240" w:lineRule="auto"/>
        <w:rPr>
          <w:rFonts w:ascii="Times New Roman" w:hAnsi="Times New Roman" w:cs="Times New Roman"/>
          <w:sz w:val="24"/>
          <w:szCs w:val="24"/>
        </w:rPr>
      </w:pPr>
      <w:r w:rsidRPr="005C0866">
        <w:rPr>
          <w:rFonts w:ascii="Times New Roman" w:hAnsi="Times New Roman" w:cs="Times New Roman"/>
          <w:sz w:val="24"/>
          <w:szCs w:val="24"/>
        </w:rPr>
        <w:t>Назначаются следующие виды пенсий:</w:t>
      </w:r>
    </w:p>
    <w:p w:rsidR="00685979" w:rsidRPr="005C0866" w:rsidRDefault="00685979" w:rsidP="00685979">
      <w:pPr>
        <w:pStyle w:val="tkTekst"/>
        <w:spacing w:after="0" w:line="240" w:lineRule="auto"/>
        <w:rPr>
          <w:rFonts w:ascii="Times New Roman" w:hAnsi="Times New Roman" w:cs="Times New Roman"/>
          <w:sz w:val="24"/>
          <w:szCs w:val="24"/>
        </w:rPr>
      </w:pPr>
      <w:r w:rsidRPr="005C0866">
        <w:rPr>
          <w:rFonts w:ascii="Times New Roman" w:hAnsi="Times New Roman" w:cs="Times New Roman"/>
          <w:sz w:val="24"/>
          <w:szCs w:val="24"/>
        </w:rPr>
        <w:t>- по возрасту;</w:t>
      </w:r>
    </w:p>
    <w:p w:rsidR="00685979" w:rsidRPr="005C0866" w:rsidRDefault="00685979" w:rsidP="00685979">
      <w:pPr>
        <w:pStyle w:val="tkTekst"/>
        <w:spacing w:after="0" w:line="240" w:lineRule="auto"/>
        <w:rPr>
          <w:rFonts w:ascii="Times New Roman" w:hAnsi="Times New Roman" w:cs="Times New Roman"/>
          <w:sz w:val="24"/>
          <w:szCs w:val="24"/>
        </w:rPr>
      </w:pPr>
      <w:r w:rsidRPr="005C0866">
        <w:rPr>
          <w:rFonts w:ascii="Times New Roman" w:hAnsi="Times New Roman" w:cs="Times New Roman"/>
          <w:sz w:val="24"/>
          <w:szCs w:val="24"/>
        </w:rPr>
        <w:t>- по инвалидности;</w:t>
      </w:r>
    </w:p>
    <w:p w:rsidR="00685979" w:rsidRPr="005C0866" w:rsidRDefault="00685979" w:rsidP="00685979">
      <w:pPr>
        <w:pStyle w:val="tkTekst"/>
        <w:spacing w:after="0" w:line="240" w:lineRule="auto"/>
        <w:rPr>
          <w:rFonts w:ascii="Times New Roman" w:hAnsi="Times New Roman" w:cs="Times New Roman"/>
          <w:sz w:val="24"/>
          <w:szCs w:val="24"/>
        </w:rPr>
      </w:pPr>
      <w:r w:rsidRPr="005C0866">
        <w:rPr>
          <w:rFonts w:ascii="Times New Roman" w:hAnsi="Times New Roman" w:cs="Times New Roman"/>
          <w:sz w:val="24"/>
          <w:szCs w:val="24"/>
        </w:rPr>
        <w:t>- по случаю потери кормильца.</w:t>
      </w:r>
    </w:p>
    <w:p w:rsidR="00685979" w:rsidRPr="005C0866" w:rsidRDefault="00685979" w:rsidP="00685979">
      <w:pPr>
        <w:pStyle w:val="tkTekst"/>
        <w:spacing w:after="0" w:line="240" w:lineRule="auto"/>
        <w:rPr>
          <w:rFonts w:ascii="Times New Roman" w:hAnsi="Times New Roman" w:cs="Times New Roman"/>
          <w:sz w:val="10"/>
          <w:szCs w:val="24"/>
        </w:rPr>
      </w:pPr>
    </w:p>
    <w:p w:rsidR="00685979" w:rsidRPr="005C0866" w:rsidRDefault="00685979" w:rsidP="00685979">
      <w:pPr>
        <w:spacing w:after="0" w:line="240" w:lineRule="auto"/>
        <w:ind w:firstLine="567"/>
        <w:jc w:val="both"/>
        <w:rPr>
          <w:rFonts w:ascii="Times New Roman" w:hAnsi="Times New Roman"/>
          <w:b/>
          <w:sz w:val="24"/>
          <w:szCs w:val="24"/>
          <w:lang w:val="ru-RU"/>
        </w:rPr>
      </w:pPr>
      <w:r w:rsidRPr="005C0866">
        <w:rPr>
          <w:rFonts w:ascii="Times New Roman" w:hAnsi="Times New Roman"/>
          <w:b/>
          <w:sz w:val="24"/>
          <w:szCs w:val="24"/>
          <w:lang w:val="ru-RU"/>
        </w:rPr>
        <w:t>Стратегические задачи сектора</w:t>
      </w:r>
    </w:p>
    <w:p w:rsidR="00685979" w:rsidRPr="005C0866" w:rsidRDefault="00685979" w:rsidP="00685979">
      <w:pPr>
        <w:spacing w:after="0" w:line="240" w:lineRule="auto"/>
        <w:ind w:firstLine="567"/>
        <w:jc w:val="both"/>
        <w:rPr>
          <w:rFonts w:ascii="Times New Roman" w:hAnsi="Times New Roman"/>
          <w:sz w:val="24"/>
          <w:szCs w:val="24"/>
          <w:lang w:val="ru-RU"/>
        </w:rPr>
      </w:pPr>
      <w:r w:rsidRPr="005C0866">
        <w:rPr>
          <w:rFonts w:ascii="Times New Roman" w:hAnsi="Times New Roman"/>
          <w:sz w:val="24"/>
          <w:szCs w:val="24"/>
          <w:lang w:val="ru-RU"/>
        </w:rPr>
        <w:t xml:space="preserve">В соответствии с </w:t>
      </w:r>
      <w:r w:rsidR="00CA64FA" w:rsidRPr="005C0866">
        <w:rPr>
          <w:rFonts w:ascii="Times New Roman" w:hAnsi="Times New Roman"/>
          <w:sz w:val="24"/>
          <w:szCs w:val="24"/>
          <w:lang w:val="ru-RU"/>
        </w:rPr>
        <w:t xml:space="preserve">Бюджетным Кодексом Кыргызской Республики и </w:t>
      </w:r>
      <w:r w:rsidRPr="005C0866">
        <w:rPr>
          <w:rFonts w:ascii="Times New Roman" w:hAnsi="Times New Roman"/>
          <w:sz w:val="24"/>
          <w:szCs w:val="24"/>
          <w:lang w:val="ru-RU"/>
        </w:rPr>
        <w:t>Законом Кыргызской Республики «О Социальном фонде Кыргызской Республики»</w:t>
      </w:r>
      <w:r w:rsidR="00CA64FA" w:rsidRPr="005C0866">
        <w:rPr>
          <w:rFonts w:ascii="Times New Roman" w:hAnsi="Times New Roman"/>
          <w:sz w:val="24"/>
          <w:szCs w:val="24"/>
          <w:lang w:val="ru-RU"/>
        </w:rPr>
        <w:t>,</w:t>
      </w:r>
      <w:r w:rsidRPr="005C0866">
        <w:rPr>
          <w:rFonts w:ascii="Times New Roman" w:hAnsi="Times New Roman"/>
          <w:sz w:val="24"/>
          <w:szCs w:val="24"/>
          <w:lang w:val="ru-RU"/>
        </w:rPr>
        <w:t xml:space="preserve"> Социальный фонд имеет собственный бюджет, утверждаемый и уточняемый ежегодно в виде закона. Доходная часть бюджета формируется в основном за счёт страховых взносов и ассигнований из республиканского бюджета.</w:t>
      </w:r>
    </w:p>
    <w:p w:rsidR="00685979" w:rsidRPr="005C0866" w:rsidRDefault="00685979" w:rsidP="00685979">
      <w:pPr>
        <w:pStyle w:val="tkTekst"/>
        <w:spacing w:after="0" w:line="240" w:lineRule="auto"/>
        <w:rPr>
          <w:rFonts w:ascii="Times New Roman" w:hAnsi="Times New Roman" w:cs="Times New Roman"/>
          <w:sz w:val="24"/>
          <w:szCs w:val="24"/>
        </w:rPr>
      </w:pPr>
      <w:r w:rsidRPr="005C0866">
        <w:rPr>
          <w:rFonts w:ascii="Times New Roman" w:hAnsi="Times New Roman" w:cs="Times New Roman"/>
          <w:sz w:val="24"/>
          <w:szCs w:val="24"/>
        </w:rPr>
        <w:t>Осуществление вышеперечисленных основных направлений деятельности Социального фонда, а также административное управление осуществляются за счёт средств Социального фонда.</w:t>
      </w:r>
    </w:p>
    <w:p w:rsidR="00685979" w:rsidRPr="005C0866" w:rsidRDefault="00685979" w:rsidP="00685979">
      <w:pPr>
        <w:spacing w:after="0" w:line="240" w:lineRule="auto"/>
        <w:ind w:firstLine="567"/>
        <w:jc w:val="both"/>
        <w:rPr>
          <w:rFonts w:ascii="Times New Roman" w:hAnsi="Times New Roman"/>
          <w:sz w:val="24"/>
          <w:szCs w:val="24"/>
          <w:lang w:val="ru-RU"/>
        </w:rPr>
      </w:pPr>
      <w:r w:rsidRPr="005C0866">
        <w:rPr>
          <w:rFonts w:ascii="Times New Roman" w:hAnsi="Times New Roman"/>
          <w:sz w:val="24"/>
          <w:szCs w:val="24"/>
          <w:lang w:val="ru-RU"/>
        </w:rPr>
        <w:t xml:space="preserve">По этой причине данная стратегия сформирована только для той части бюджета Социального фонда, которая формируется и исполняется за счёт ассигнований из республиканского бюджета. </w:t>
      </w:r>
    </w:p>
    <w:p w:rsidR="00685979" w:rsidRPr="005C0866" w:rsidRDefault="00685979" w:rsidP="00685979">
      <w:pPr>
        <w:spacing w:after="0" w:line="240" w:lineRule="auto"/>
        <w:ind w:firstLine="567"/>
        <w:jc w:val="both"/>
        <w:rPr>
          <w:rFonts w:ascii="Times New Roman" w:hAnsi="Times New Roman"/>
          <w:sz w:val="24"/>
          <w:szCs w:val="24"/>
          <w:lang w:val="ru-RU"/>
        </w:rPr>
      </w:pPr>
      <w:r w:rsidRPr="005C0866">
        <w:rPr>
          <w:rFonts w:ascii="Times New Roman" w:hAnsi="Times New Roman"/>
          <w:sz w:val="24"/>
          <w:szCs w:val="24"/>
          <w:lang w:val="ru-RU"/>
        </w:rPr>
        <w:t>За счёт ассигнований из республиканского бюджета Социальным фондом осуществляется финансирование базовой части пенсий, льготных пенсий, пенсий военнослужащих, а также выплата надбавок к пенсиям (за особые заслуги перед Кыргызской Республикой, 80-ти летним, матерям-героиням и др.), компенсационных выплат за электроэнергию.</w:t>
      </w:r>
    </w:p>
    <w:p w:rsidR="00685979" w:rsidRPr="005C0866" w:rsidRDefault="00685979" w:rsidP="00685979">
      <w:pPr>
        <w:spacing w:after="0" w:line="240" w:lineRule="auto"/>
        <w:ind w:firstLine="567"/>
        <w:jc w:val="both"/>
        <w:rPr>
          <w:rFonts w:ascii="Times New Roman" w:hAnsi="Times New Roman"/>
          <w:sz w:val="10"/>
          <w:szCs w:val="24"/>
          <w:lang w:val="ru-RU"/>
        </w:rPr>
      </w:pPr>
    </w:p>
    <w:p w:rsidR="00685979" w:rsidRPr="005C0866" w:rsidRDefault="00685979" w:rsidP="00685979">
      <w:pPr>
        <w:tabs>
          <w:tab w:val="left" w:pos="709"/>
        </w:tabs>
        <w:spacing w:after="0" w:line="240" w:lineRule="auto"/>
        <w:ind w:firstLine="567"/>
        <w:jc w:val="both"/>
        <w:rPr>
          <w:rFonts w:ascii="Times New Roman" w:hAnsi="Times New Roman"/>
          <w:b/>
          <w:sz w:val="24"/>
          <w:szCs w:val="24"/>
          <w:lang w:val="ru-RU"/>
        </w:rPr>
      </w:pPr>
      <w:r w:rsidRPr="005C0866">
        <w:rPr>
          <w:rFonts w:ascii="Times New Roman" w:hAnsi="Times New Roman"/>
          <w:b/>
          <w:sz w:val="24"/>
          <w:szCs w:val="24"/>
          <w:lang w:val="ru-RU"/>
        </w:rPr>
        <w:t>Анализ текущей ситуации</w:t>
      </w:r>
    </w:p>
    <w:p w:rsidR="00654CA7" w:rsidRPr="005C0866" w:rsidRDefault="00654CA7" w:rsidP="00654CA7">
      <w:pPr>
        <w:spacing w:after="0" w:line="240" w:lineRule="auto"/>
        <w:ind w:firstLine="567"/>
        <w:jc w:val="both"/>
        <w:rPr>
          <w:rFonts w:ascii="Times New Roman" w:hAnsi="Times New Roman"/>
          <w:sz w:val="24"/>
          <w:szCs w:val="24"/>
          <w:lang w:val="ru-RU"/>
        </w:rPr>
      </w:pPr>
      <w:r w:rsidRPr="005C0866">
        <w:rPr>
          <w:rFonts w:ascii="Times New Roman" w:hAnsi="Times New Roman"/>
          <w:sz w:val="24"/>
          <w:szCs w:val="24"/>
          <w:lang w:val="ru-RU"/>
        </w:rPr>
        <w:t>По итогам 201</w:t>
      </w:r>
      <w:r w:rsidR="002F37F6" w:rsidRPr="005C0866">
        <w:rPr>
          <w:rFonts w:ascii="Times New Roman" w:hAnsi="Times New Roman"/>
          <w:sz w:val="24"/>
          <w:szCs w:val="24"/>
          <w:lang w:val="ru-RU"/>
        </w:rPr>
        <w:t>9</w:t>
      </w:r>
      <w:r w:rsidRPr="005C0866">
        <w:rPr>
          <w:rFonts w:ascii="Times New Roman" w:hAnsi="Times New Roman"/>
          <w:sz w:val="24"/>
          <w:szCs w:val="24"/>
          <w:lang w:val="ru-RU"/>
        </w:rPr>
        <w:t xml:space="preserve"> года количество пенсионеров составило </w:t>
      </w:r>
      <w:r w:rsidR="002F37F6" w:rsidRPr="005C0866">
        <w:rPr>
          <w:rFonts w:ascii="Times New Roman" w:hAnsi="Times New Roman"/>
          <w:sz w:val="24"/>
          <w:szCs w:val="24"/>
          <w:lang w:val="ru-RU"/>
        </w:rPr>
        <w:t>670,4</w:t>
      </w:r>
      <w:r w:rsidRPr="005C0866">
        <w:rPr>
          <w:rFonts w:ascii="Times New Roman" w:hAnsi="Times New Roman"/>
          <w:sz w:val="24"/>
          <w:szCs w:val="24"/>
          <w:lang w:val="ru-RU"/>
        </w:rPr>
        <w:t xml:space="preserve"> тыс. человек, или на </w:t>
      </w:r>
      <w:r w:rsidR="002F37F6" w:rsidRPr="005C0866">
        <w:rPr>
          <w:rFonts w:ascii="Times New Roman" w:hAnsi="Times New Roman"/>
          <w:sz w:val="24"/>
          <w:szCs w:val="24"/>
          <w:lang w:val="ru-RU"/>
        </w:rPr>
        <w:t>19,2</w:t>
      </w:r>
      <w:r w:rsidRPr="005C0866">
        <w:rPr>
          <w:rFonts w:ascii="Times New Roman" w:hAnsi="Times New Roman"/>
          <w:sz w:val="24"/>
          <w:szCs w:val="24"/>
          <w:lang w:val="ru-RU"/>
        </w:rPr>
        <w:t xml:space="preserve"> тыс. человек больше по сравнению с предыдущим годом.</w:t>
      </w:r>
    </w:p>
    <w:p w:rsidR="00654CA7" w:rsidRPr="005C0866" w:rsidRDefault="00654CA7" w:rsidP="00654CA7">
      <w:pPr>
        <w:spacing w:after="0" w:line="240" w:lineRule="auto"/>
        <w:ind w:firstLine="567"/>
        <w:jc w:val="both"/>
        <w:rPr>
          <w:rFonts w:ascii="Times New Roman" w:hAnsi="Times New Roman"/>
          <w:sz w:val="24"/>
          <w:szCs w:val="24"/>
          <w:lang w:val="ru-RU"/>
        </w:rPr>
      </w:pPr>
      <w:r w:rsidRPr="005C0866">
        <w:rPr>
          <w:rFonts w:ascii="Times New Roman" w:hAnsi="Times New Roman"/>
          <w:sz w:val="24"/>
          <w:szCs w:val="24"/>
          <w:lang w:val="ru-RU"/>
        </w:rPr>
        <w:t>По итогам 201</w:t>
      </w:r>
      <w:r w:rsidR="002F37F6" w:rsidRPr="005C0866">
        <w:rPr>
          <w:rFonts w:ascii="Times New Roman" w:hAnsi="Times New Roman"/>
          <w:sz w:val="24"/>
          <w:szCs w:val="24"/>
          <w:lang w:val="ru-RU"/>
        </w:rPr>
        <w:t>9</w:t>
      </w:r>
      <w:r w:rsidRPr="005C0866">
        <w:rPr>
          <w:rFonts w:ascii="Times New Roman" w:hAnsi="Times New Roman"/>
          <w:sz w:val="24"/>
          <w:szCs w:val="24"/>
          <w:lang w:val="ru-RU"/>
        </w:rPr>
        <w:t xml:space="preserve"> года средний размер пенсии составил </w:t>
      </w:r>
      <w:r w:rsidR="002F37F6" w:rsidRPr="005C0866">
        <w:rPr>
          <w:rFonts w:ascii="Times New Roman" w:hAnsi="Times New Roman"/>
          <w:sz w:val="24"/>
          <w:szCs w:val="24"/>
          <w:lang w:val="ru-RU"/>
        </w:rPr>
        <w:t>5786</w:t>
      </w:r>
      <w:r w:rsidRPr="005C0866">
        <w:rPr>
          <w:rFonts w:ascii="Times New Roman" w:hAnsi="Times New Roman"/>
          <w:sz w:val="24"/>
          <w:szCs w:val="24"/>
          <w:lang w:val="ru-RU"/>
        </w:rPr>
        <w:t xml:space="preserve"> сомов. По данным Национального статистического комитета Кыргызской Республики, </w:t>
      </w:r>
      <w:r w:rsidR="002F37F6" w:rsidRPr="005C0866">
        <w:rPr>
          <w:rFonts w:ascii="Times New Roman" w:hAnsi="Times New Roman"/>
          <w:sz w:val="24"/>
          <w:szCs w:val="24"/>
          <w:lang w:val="ru-RU"/>
        </w:rPr>
        <w:t xml:space="preserve">прогноз </w:t>
      </w:r>
      <w:r w:rsidRPr="005C0866">
        <w:rPr>
          <w:rFonts w:ascii="Times New Roman" w:hAnsi="Times New Roman"/>
          <w:sz w:val="24"/>
          <w:szCs w:val="24"/>
          <w:lang w:val="ru-RU"/>
        </w:rPr>
        <w:t>прожиточн</w:t>
      </w:r>
      <w:r w:rsidR="002F37F6" w:rsidRPr="005C0866">
        <w:rPr>
          <w:rFonts w:ascii="Times New Roman" w:hAnsi="Times New Roman"/>
          <w:sz w:val="24"/>
          <w:szCs w:val="24"/>
          <w:lang w:val="ru-RU"/>
        </w:rPr>
        <w:t>ого</w:t>
      </w:r>
      <w:r w:rsidRPr="005C0866">
        <w:rPr>
          <w:rFonts w:ascii="Times New Roman" w:hAnsi="Times New Roman"/>
          <w:sz w:val="24"/>
          <w:szCs w:val="24"/>
          <w:lang w:val="ru-RU"/>
        </w:rPr>
        <w:t xml:space="preserve"> минимум</w:t>
      </w:r>
      <w:r w:rsidR="002F37F6" w:rsidRPr="005C0866">
        <w:rPr>
          <w:rFonts w:ascii="Times New Roman" w:hAnsi="Times New Roman"/>
          <w:sz w:val="24"/>
          <w:szCs w:val="24"/>
          <w:lang w:val="ru-RU"/>
        </w:rPr>
        <w:t>а</w:t>
      </w:r>
      <w:r w:rsidRPr="005C0866">
        <w:rPr>
          <w:rFonts w:ascii="Times New Roman" w:hAnsi="Times New Roman"/>
          <w:sz w:val="24"/>
          <w:szCs w:val="24"/>
          <w:lang w:val="ru-RU"/>
        </w:rPr>
        <w:t xml:space="preserve"> пенсионера </w:t>
      </w:r>
      <w:r w:rsidR="002F37F6" w:rsidRPr="005C0866">
        <w:rPr>
          <w:rFonts w:ascii="Times New Roman" w:hAnsi="Times New Roman"/>
          <w:sz w:val="24"/>
          <w:szCs w:val="24"/>
          <w:lang w:val="ru-RU"/>
        </w:rPr>
        <w:t>на</w:t>
      </w:r>
      <w:r w:rsidRPr="005C0866">
        <w:rPr>
          <w:rFonts w:ascii="Times New Roman" w:hAnsi="Times New Roman"/>
          <w:sz w:val="24"/>
          <w:szCs w:val="24"/>
          <w:lang w:val="ru-RU"/>
        </w:rPr>
        <w:t xml:space="preserve"> 201</w:t>
      </w:r>
      <w:r w:rsidR="002F37F6" w:rsidRPr="005C0866">
        <w:rPr>
          <w:rFonts w:ascii="Times New Roman" w:hAnsi="Times New Roman"/>
          <w:sz w:val="24"/>
          <w:szCs w:val="24"/>
          <w:lang w:val="ru-RU"/>
        </w:rPr>
        <w:t>9</w:t>
      </w:r>
      <w:r w:rsidRPr="005C0866">
        <w:rPr>
          <w:rFonts w:ascii="Times New Roman" w:hAnsi="Times New Roman"/>
          <w:sz w:val="24"/>
          <w:szCs w:val="24"/>
          <w:lang w:val="ru-RU"/>
        </w:rPr>
        <w:t xml:space="preserve"> год состав</w:t>
      </w:r>
      <w:r w:rsidR="002F37F6" w:rsidRPr="005C0866">
        <w:rPr>
          <w:rFonts w:ascii="Times New Roman" w:hAnsi="Times New Roman"/>
          <w:sz w:val="24"/>
          <w:szCs w:val="24"/>
          <w:lang w:val="ru-RU"/>
        </w:rPr>
        <w:t>ляет</w:t>
      </w:r>
      <w:r w:rsidRPr="005C0866">
        <w:rPr>
          <w:rFonts w:ascii="Times New Roman" w:hAnsi="Times New Roman"/>
          <w:sz w:val="24"/>
          <w:szCs w:val="24"/>
          <w:lang w:val="ru-RU"/>
        </w:rPr>
        <w:t xml:space="preserve"> 428</w:t>
      </w:r>
      <w:r w:rsidR="002F37F6" w:rsidRPr="005C0866">
        <w:rPr>
          <w:rFonts w:ascii="Times New Roman" w:hAnsi="Times New Roman"/>
          <w:sz w:val="24"/>
          <w:szCs w:val="24"/>
          <w:lang w:val="ru-RU"/>
        </w:rPr>
        <w:t>6,7</w:t>
      </w:r>
      <w:r w:rsidRPr="005C0866">
        <w:rPr>
          <w:rFonts w:ascii="Times New Roman" w:hAnsi="Times New Roman"/>
          <w:sz w:val="24"/>
          <w:szCs w:val="24"/>
          <w:lang w:val="ru-RU"/>
        </w:rPr>
        <w:t xml:space="preserve"> сом</w:t>
      </w:r>
      <w:r w:rsidR="002F37F6" w:rsidRPr="005C0866">
        <w:rPr>
          <w:rFonts w:ascii="Times New Roman" w:hAnsi="Times New Roman"/>
          <w:sz w:val="24"/>
          <w:szCs w:val="24"/>
          <w:lang w:val="ru-RU"/>
        </w:rPr>
        <w:t>ов</w:t>
      </w:r>
      <w:r w:rsidRPr="005C0866">
        <w:rPr>
          <w:rFonts w:ascii="Times New Roman" w:hAnsi="Times New Roman"/>
          <w:sz w:val="24"/>
          <w:szCs w:val="24"/>
          <w:lang w:val="ru-RU"/>
        </w:rPr>
        <w:t>. Соотношение среднего размера пенсии к прожиточному минимуму пенсионера составило 13</w:t>
      </w:r>
      <w:r w:rsidR="002F37F6" w:rsidRPr="005C0866">
        <w:rPr>
          <w:rFonts w:ascii="Times New Roman" w:hAnsi="Times New Roman"/>
          <w:sz w:val="24"/>
          <w:szCs w:val="24"/>
          <w:lang w:val="ru-RU"/>
        </w:rPr>
        <w:t>5</w:t>
      </w:r>
      <w:r w:rsidRPr="005C0866">
        <w:rPr>
          <w:rFonts w:ascii="Times New Roman" w:hAnsi="Times New Roman"/>
          <w:sz w:val="24"/>
          <w:szCs w:val="24"/>
          <w:lang w:val="ru-RU"/>
        </w:rPr>
        <w:t>%.</w:t>
      </w:r>
    </w:p>
    <w:p w:rsidR="00654CA7" w:rsidRPr="005C0866" w:rsidRDefault="00654CA7" w:rsidP="00654CA7">
      <w:pPr>
        <w:spacing w:after="0" w:line="240" w:lineRule="auto"/>
        <w:ind w:firstLine="567"/>
        <w:jc w:val="both"/>
        <w:rPr>
          <w:rFonts w:ascii="Times New Roman" w:hAnsi="Times New Roman"/>
          <w:sz w:val="24"/>
          <w:szCs w:val="24"/>
          <w:lang w:val="ru-RU"/>
        </w:rPr>
      </w:pPr>
      <w:r w:rsidRPr="005C0866">
        <w:rPr>
          <w:rFonts w:ascii="Times New Roman" w:hAnsi="Times New Roman"/>
          <w:sz w:val="24"/>
          <w:szCs w:val="24"/>
          <w:lang w:val="ru-RU"/>
        </w:rPr>
        <w:t>Количество пенсионеров, получающих пенсии ниже прожиточного минимума пенсионера состав</w:t>
      </w:r>
      <w:r w:rsidR="002F37F6" w:rsidRPr="005C0866">
        <w:rPr>
          <w:rFonts w:ascii="Times New Roman" w:hAnsi="Times New Roman"/>
          <w:sz w:val="24"/>
          <w:szCs w:val="24"/>
          <w:lang w:val="ru-RU"/>
        </w:rPr>
        <w:t>ляет</w:t>
      </w:r>
      <w:r w:rsidRPr="005C0866">
        <w:rPr>
          <w:rFonts w:ascii="Times New Roman" w:hAnsi="Times New Roman"/>
          <w:sz w:val="24"/>
          <w:szCs w:val="24"/>
          <w:lang w:val="ru-RU"/>
        </w:rPr>
        <w:t xml:space="preserve"> 38,0% общего количества пенсионеров.</w:t>
      </w:r>
    </w:p>
    <w:p w:rsidR="00C848C5" w:rsidRPr="005C0866" w:rsidRDefault="00C848C5" w:rsidP="00C848C5">
      <w:pPr>
        <w:spacing w:after="0" w:line="240" w:lineRule="auto"/>
        <w:ind w:firstLine="567"/>
        <w:jc w:val="both"/>
        <w:rPr>
          <w:rFonts w:ascii="Times New Roman" w:hAnsi="Times New Roman"/>
          <w:sz w:val="24"/>
          <w:szCs w:val="24"/>
          <w:lang w:val="ru-RU"/>
        </w:rPr>
      </w:pPr>
      <w:r w:rsidRPr="005C0866">
        <w:rPr>
          <w:rFonts w:ascii="Times New Roman" w:hAnsi="Times New Roman"/>
          <w:sz w:val="24"/>
          <w:szCs w:val="24"/>
          <w:lang w:val="ru-RU"/>
        </w:rPr>
        <w:t xml:space="preserve">В целях обеспечения дальнейшей поддержки жизненного уровня пенсионеров приняты постановления Правительства Кыргызской Республики №507 и №508 от 30 сентября 2019 года «Об индексации базовой части пенсий, общий размер которых ниже </w:t>
      </w:r>
      <w:r w:rsidRPr="005C0866">
        <w:rPr>
          <w:rFonts w:ascii="Times New Roman" w:hAnsi="Times New Roman"/>
          <w:sz w:val="24"/>
          <w:szCs w:val="24"/>
          <w:lang w:val="ru-RU"/>
        </w:rPr>
        <w:lastRenderedPageBreak/>
        <w:t>величины прожиточного минимума пенсионера за предыдущий год, с 1 октября 2019 года» и «Об индексации размеров страховых частей пенсии с 1 октября 2019 года», которыми предусматривается повышение базовой и страховых частей пенсий с 1 октября 2019 года, в соответствии с которыми:</w:t>
      </w:r>
    </w:p>
    <w:p w:rsidR="00C848C5" w:rsidRPr="005C0866" w:rsidRDefault="00C848C5" w:rsidP="00C848C5">
      <w:pPr>
        <w:spacing w:after="0" w:line="240" w:lineRule="auto"/>
        <w:ind w:firstLine="567"/>
        <w:jc w:val="both"/>
        <w:rPr>
          <w:rFonts w:ascii="Times New Roman" w:hAnsi="Times New Roman"/>
          <w:sz w:val="24"/>
          <w:szCs w:val="24"/>
          <w:lang w:val="ru-RU"/>
        </w:rPr>
      </w:pPr>
      <w:r w:rsidRPr="005C0866">
        <w:rPr>
          <w:rFonts w:ascii="Times New Roman" w:hAnsi="Times New Roman"/>
          <w:sz w:val="24"/>
          <w:szCs w:val="24"/>
          <w:lang w:val="ru-RU"/>
        </w:rPr>
        <w:t>- осуществлена индексация базовой части пенсии на 105% или на 100 сомов. При этом базовая часть пенсии проиндексирована пенсионерам, общий размер пенсии которых, был ниже величины прожиточного минимума пенсионера сложившийся за предыдущий год в размере 4283 сома. Повышение произведено 38% пенсионерам или 241,5 тысяч человек от общего числа пенсионеров.</w:t>
      </w:r>
    </w:p>
    <w:p w:rsidR="00C848C5" w:rsidRPr="005C0866" w:rsidRDefault="00C848C5" w:rsidP="00C848C5">
      <w:pPr>
        <w:spacing w:after="0" w:line="240" w:lineRule="auto"/>
        <w:ind w:firstLine="567"/>
        <w:jc w:val="both"/>
        <w:rPr>
          <w:rFonts w:ascii="Times New Roman" w:hAnsi="Times New Roman"/>
          <w:sz w:val="24"/>
          <w:szCs w:val="24"/>
          <w:lang w:val="ru-RU"/>
        </w:rPr>
      </w:pPr>
      <w:r w:rsidRPr="005C0866">
        <w:rPr>
          <w:rFonts w:ascii="Times New Roman" w:hAnsi="Times New Roman"/>
          <w:sz w:val="24"/>
          <w:szCs w:val="24"/>
          <w:lang w:val="ru-RU"/>
        </w:rPr>
        <w:t>- с 1 октября 2019 года утвержден коэффициент индексации размеров страховых частей пенсий в размере 1,05;</w:t>
      </w:r>
    </w:p>
    <w:p w:rsidR="00654CA7" w:rsidRPr="005C0866" w:rsidRDefault="00C848C5" w:rsidP="00C848C5">
      <w:pPr>
        <w:spacing w:after="0" w:line="240" w:lineRule="auto"/>
        <w:ind w:firstLine="567"/>
        <w:jc w:val="both"/>
        <w:rPr>
          <w:rFonts w:ascii="Times New Roman" w:hAnsi="Times New Roman"/>
          <w:sz w:val="24"/>
          <w:szCs w:val="24"/>
          <w:lang w:val="ru-RU"/>
        </w:rPr>
      </w:pPr>
      <w:r w:rsidRPr="005C0866">
        <w:rPr>
          <w:rFonts w:ascii="Times New Roman" w:hAnsi="Times New Roman"/>
          <w:sz w:val="24"/>
          <w:szCs w:val="24"/>
          <w:lang w:val="ru-RU"/>
        </w:rPr>
        <w:t>- произведена индексация размеров страховых частей пенсий на коэффициент 1,05, но не менее чем на 200 сомов для пенсий, общий размер которых не превышал 4283 сома, и не менее чем на 320 сомов для пенсий, общий размер которых составлял и превышал 4283 сома.</w:t>
      </w:r>
    </w:p>
    <w:p w:rsidR="001C0956" w:rsidRPr="005C0866" w:rsidRDefault="001C0956" w:rsidP="002F37F6">
      <w:pPr>
        <w:spacing w:after="0" w:line="240" w:lineRule="auto"/>
        <w:ind w:firstLine="567"/>
        <w:jc w:val="both"/>
        <w:rPr>
          <w:rFonts w:ascii="Times New Roman" w:hAnsi="Times New Roman"/>
          <w:sz w:val="10"/>
          <w:szCs w:val="24"/>
          <w:lang w:val="ru-RU"/>
        </w:rPr>
      </w:pPr>
    </w:p>
    <w:p w:rsidR="00685979" w:rsidRPr="005C0866" w:rsidRDefault="001C0956" w:rsidP="00685979">
      <w:pPr>
        <w:spacing w:after="0" w:line="240" w:lineRule="auto"/>
        <w:ind w:firstLine="567"/>
        <w:jc w:val="both"/>
        <w:rPr>
          <w:rFonts w:ascii="Times New Roman" w:hAnsi="Times New Roman"/>
          <w:b/>
          <w:sz w:val="24"/>
          <w:szCs w:val="24"/>
          <w:lang w:val="ru-RU"/>
        </w:rPr>
      </w:pPr>
      <w:r w:rsidRPr="005C0866">
        <w:rPr>
          <w:rFonts w:ascii="Times New Roman" w:hAnsi="Times New Roman"/>
          <w:b/>
          <w:sz w:val="24"/>
          <w:szCs w:val="24"/>
          <w:lang w:val="ru-RU"/>
        </w:rPr>
        <w:t>Б</w:t>
      </w:r>
      <w:r w:rsidR="00685979" w:rsidRPr="005C0866">
        <w:rPr>
          <w:rFonts w:ascii="Times New Roman" w:hAnsi="Times New Roman"/>
          <w:b/>
          <w:sz w:val="24"/>
          <w:szCs w:val="24"/>
          <w:lang w:val="ru-RU"/>
        </w:rPr>
        <w:t>юджетны</w:t>
      </w:r>
      <w:r w:rsidRPr="005C0866">
        <w:rPr>
          <w:rFonts w:ascii="Times New Roman" w:hAnsi="Times New Roman"/>
          <w:b/>
          <w:sz w:val="24"/>
          <w:szCs w:val="24"/>
          <w:lang w:val="ru-RU"/>
        </w:rPr>
        <w:t>е</w:t>
      </w:r>
      <w:r w:rsidR="00685979" w:rsidRPr="005C0866">
        <w:rPr>
          <w:rFonts w:ascii="Times New Roman" w:hAnsi="Times New Roman"/>
          <w:b/>
          <w:sz w:val="24"/>
          <w:szCs w:val="24"/>
          <w:lang w:val="ru-RU"/>
        </w:rPr>
        <w:t xml:space="preserve"> программ</w:t>
      </w:r>
      <w:r w:rsidRPr="005C0866">
        <w:rPr>
          <w:rFonts w:ascii="Times New Roman" w:hAnsi="Times New Roman"/>
          <w:b/>
          <w:sz w:val="24"/>
          <w:szCs w:val="24"/>
          <w:lang w:val="ru-RU"/>
        </w:rPr>
        <w:t>ы</w:t>
      </w:r>
    </w:p>
    <w:p w:rsidR="00685979" w:rsidRPr="005C0866" w:rsidRDefault="00685979" w:rsidP="00685979">
      <w:pPr>
        <w:spacing w:after="0" w:line="240" w:lineRule="auto"/>
        <w:ind w:firstLine="567"/>
        <w:jc w:val="both"/>
        <w:rPr>
          <w:rFonts w:ascii="Times New Roman" w:hAnsi="Times New Roman"/>
          <w:sz w:val="24"/>
          <w:szCs w:val="24"/>
          <w:lang w:val="ru-RU"/>
        </w:rPr>
      </w:pPr>
      <w:r w:rsidRPr="005C0866">
        <w:rPr>
          <w:rFonts w:ascii="Times New Roman" w:hAnsi="Times New Roman"/>
          <w:sz w:val="24"/>
          <w:szCs w:val="24"/>
          <w:lang w:val="ru-RU"/>
        </w:rPr>
        <w:t>Среднесрочная стратегия бюджетных расходов сектора на 20</w:t>
      </w:r>
      <w:r w:rsidR="000D2B02" w:rsidRPr="005C0866">
        <w:rPr>
          <w:rFonts w:ascii="Times New Roman" w:hAnsi="Times New Roman"/>
          <w:sz w:val="24"/>
          <w:szCs w:val="24"/>
          <w:lang w:val="ru-RU"/>
        </w:rPr>
        <w:t>2</w:t>
      </w:r>
      <w:r w:rsidR="001C0956" w:rsidRPr="005C0866">
        <w:rPr>
          <w:rFonts w:ascii="Times New Roman" w:hAnsi="Times New Roman"/>
          <w:sz w:val="24"/>
          <w:szCs w:val="24"/>
          <w:lang w:val="ru-RU"/>
        </w:rPr>
        <w:t>1</w:t>
      </w:r>
      <w:r w:rsidRPr="005C0866">
        <w:rPr>
          <w:rFonts w:ascii="Times New Roman" w:hAnsi="Times New Roman"/>
          <w:sz w:val="24"/>
          <w:szCs w:val="24"/>
          <w:lang w:val="ru-RU"/>
        </w:rPr>
        <w:t>-202</w:t>
      </w:r>
      <w:r w:rsidR="001C0956" w:rsidRPr="005C0866">
        <w:rPr>
          <w:rFonts w:ascii="Times New Roman" w:hAnsi="Times New Roman"/>
          <w:sz w:val="24"/>
          <w:szCs w:val="24"/>
          <w:lang w:val="ru-RU"/>
        </w:rPr>
        <w:t>3</w:t>
      </w:r>
      <w:r w:rsidRPr="005C0866">
        <w:rPr>
          <w:rFonts w:ascii="Times New Roman" w:hAnsi="Times New Roman"/>
          <w:sz w:val="24"/>
          <w:szCs w:val="24"/>
          <w:lang w:val="ru-RU"/>
        </w:rPr>
        <w:t> гг. включает одну программу бюджетных расходов:</w:t>
      </w:r>
    </w:p>
    <w:p w:rsidR="00685979" w:rsidRPr="005C0866" w:rsidRDefault="00685979" w:rsidP="00685979">
      <w:pPr>
        <w:spacing w:after="0" w:line="240" w:lineRule="auto"/>
        <w:ind w:firstLine="567"/>
        <w:jc w:val="both"/>
        <w:rPr>
          <w:rFonts w:ascii="Times New Roman" w:hAnsi="Times New Roman"/>
          <w:b/>
          <w:sz w:val="24"/>
          <w:szCs w:val="24"/>
          <w:u w:val="single"/>
          <w:lang w:val="ru-RU"/>
        </w:rPr>
      </w:pPr>
      <w:r w:rsidRPr="005C0866">
        <w:rPr>
          <w:rFonts w:ascii="Times New Roman" w:hAnsi="Times New Roman"/>
          <w:b/>
          <w:bCs/>
          <w:sz w:val="24"/>
          <w:szCs w:val="24"/>
          <w:u w:val="single"/>
          <w:lang w:val="ru-RU"/>
        </w:rPr>
        <w:t>Программа 1. Пенсионное обеспечение и компенсации за счет бюджетных средств.</w:t>
      </w:r>
    </w:p>
    <w:p w:rsidR="00685979" w:rsidRPr="005C0866" w:rsidRDefault="00685979" w:rsidP="00685979">
      <w:pPr>
        <w:spacing w:after="0" w:line="240" w:lineRule="auto"/>
        <w:ind w:firstLine="567"/>
        <w:jc w:val="both"/>
        <w:rPr>
          <w:rFonts w:ascii="Times New Roman" w:hAnsi="Times New Roman"/>
          <w:b/>
          <w:sz w:val="24"/>
          <w:szCs w:val="24"/>
          <w:lang w:val="ru-RU"/>
        </w:rPr>
      </w:pPr>
      <w:r w:rsidRPr="005C0866">
        <w:rPr>
          <w:rFonts w:ascii="Times New Roman" w:hAnsi="Times New Roman"/>
          <w:b/>
          <w:sz w:val="24"/>
          <w:szCs w:val="24"/>
          <w:lang w:val="ru-RU"/>
        </w:rPr>
        <w:t>Цели программы:</w:t>
      </w:r>
    </w:p>
    <w:p w:rsidR="00685979" w:rsidRPr="005C0866" w:rsidRDefault="00685979" w:rsidP="00685979">
      <w:pPr>
        <w:spacing w:after="0" w:line="240" w:lineRule="auto"/>
        <w:ind w:firstLine="567"/>
        <w:jc w:val="both"/>
        <w:rPr>
          <w:rFonts w:ascii="Times New Roman" w:hAnsi="Times New Roman"/>
          <w:sz w:val="24"/>
          <w:szCs w:val="24"/>
          <w:lang w:val="ru-RU"/>
        </w:rPr>
      </w:pPr>
      <w:r w:rsidRPr="005C0866">
        <w:rPr>
          <w:rFonts w:ascii="Times New Roman" w:hAnsi="Times New Roman"/>
          <w:sz w:val="24"/>
          <w:szCs w:val="24"/>
          <w:lang w:val="ru-RU"/>
        </w:rPr>
        <w:t>Повышение адресности и эффективности расходов по выплате пенсий, надбавок к пенсиям и компенсаций, финансируемых за счёт денежных средств республиканского бюджета.</w:t>
      </w:r>
    </w:p>
    <w:p w:rsidR="00BC5EBE" w:rsidRPr="005C0866" w:rsidRDefault="00BC5EBE" w:rsidP="00BC5EBE">
      <w:pPr>
        <w:spacing w:after="0" w:line="240" w:lineRule="auto"/>
        <w:ind w:firstLine="567"/>
        <w:jc w:val="both"/>
        <w:rPr>
          <w:rFonts w:ascii="Times New Roman" w:hAnsi="Times New Roman"/>
          <w:b/>
          <w:sz w:val="24"/>
          <w:szCs w:val="24"/>
          <w:lang w:val="ru-RU"/>
        </w:rPr>
      </w:pPr>
      <w:r w:rsidRPr="005C0866">
        <w:rPr>
          <w:rFonts w:ascii="Times New Roman" w:hAnsi="Times New Roman"/>
          <w:b/>
          <w:sz w:val="24"/>
          <w:szCs w:val="24"/>
          <w:lang w:val="ru-RU"/>
        </w:rPr>
        <w:t>Бюджетные меры в рамках программы:</w:t>
      </w:r>
    </w:p>
    <w:p w:rsidR="00BC5EBE" w:rsidRPr="005C0866" w:rsidRDefault="00BC5EBE" w:rsidP="00BC5EBE">
      <w:pPr>
        <w:spacing w:after="0" w:line="240" w:lineRule="auto"/>
        <w:ind w:firstLine="567"/>
        <w:jc w:val="both"/>
        <w:rPr>
          <w:rFonts w:ascii="Times New Roman" w:hAnsi="Times New Roman"/>
          <w:b/>
          <w:sz w:val="24"/>
          <w:szCs w:val="24"/>
          <w:lang w:val="ru-RU"/>
        </w:rPr>
      </w:pPr>
      <w:r w:rsidRPr="005C0866">
        <w:rPr>
          <w:rFonts w:ascii="Times New Roman" w:hAnsi="Times New Roman"/>
          <w:b/>
          <w:sz w:val="24"/>
          <w:szCs w:val="24"/>
          <w:lang w:val="ru-RU"/>
        </w:rPr>
        <w:t>1.1.</w:t>
      </w:r>
      <w:r w:rsidRPr="005C0866">
        <w:rPr>
          <w:rFonts w:ascii="Times New Roman" w:hAnsi="Times New Roman"/>
          <w:b/>
          <w:sz w:val="24"/>
          <w:szCs w:val="24"/>
          <w:lang w:val="ru-RU"/>
        </w:rPr>
        <w:tab/>
        <w:t>Обеспечение базовой части пенсии.</w:t>
      </w:r>
    </w:p>
    <w:p w:rsidR="00BC5EBE" w:rsidRPr="005C0866" w:rsidRDefault="00BC5EBE" w:rsidP="00BC5EBE">
      <w:pPr>
        <w:spacing w:after="0" w:line="240" w:lineRule="auto"/>
        <w:ind w:firstLine="567"/>
        <w:jc w:val="both"/>
        <w:rPr>
          <w:rFonts w:ascii="Times New Roman" w:hAnsi="Times New Roman"/>
          <w:sz w:val="24"/>
          <w:szCs w:val="24"/>
          <w:lang w:val="ru-RU"/>
        </w:rPr>
      </w:pPr>
      <w:r w:rsidRPr="005C0866">
        <w:rPr>
          <w:rFonts w:ascii="Times New Roman" w:hAnsi="Times New Roman"/>
          <w:sz w:val="24"/>
          <w:szCs w:val="24"/>
          <w:lang w:val="ru-RU"/>
        </w:rPr>
        <w:t xml:space="preserve">Данная бюджетная мера предусматривает выплату базовой части пенсий из средств, финансируемых за счёт ассигнований из республиканского бюджета. </w:t>
      </w:r>
    </w:p>
    <w:p w:rsidR="00BC5EBE" w:rsidRPr="005C0866" w:rsidRDefault="00BC5EBE" w:rsidP="00BC5EBE">
      <w:pPr>
        <w:spacing w:after="0" w:line="240" w:lineRule="auto"/>
        <w:ind w:firstLine="567"/>
        <w:jc w:val="both"/>
        <w:rPr>
          <w:rFonts w:ascii="Times New Roman" w:hAnsi="Times New Roman"/>
          <w:sz w:val="24"/>
          <w:szCs w:val="24"/>
          <w:lang w:val="ru-RU"/>
        </w:rPr>
      </w:pPr>
      <w:r w:rsidRPr="005C0866">
        <w:rPr>
          <w:rFonts w:ascii="Times New Roman" w:hAnsi="Times New Roman"/>
          <w:sz w:val="24"/>
          <w:szCs w:val="24"/>
          <w:lang w:val="ru-RU"/>
        </w:rPr>
        <w:t xml:space="preserve">Согласно постановлению Правительства Кыргызской Республики «О финансировании базовой части пенсии» №594 от 6 ноября 2013 года, с 1 января 2017 года и в последующие годы выплата базовой части пенсии производится за счёт средств республиканского бюджета в размере 100% от годовой потребности. </w:t>
      </w:r>
    </w:p>
    <w:p w:rsidR="00BC5EBE" w:rsidRPr="005C0866" w:rsidRDefault="00BC5EBE" w:rsidP="00BC5EBE">
      <w:pPr>
        <w:spacing w:after="0" w:line="240" w:lineRule="auto"/>
        <w:ind w:firstLine="567"/>
        <w:jc w:val="both"/>
        <w:rPr>
          <w:rFonts w:ascii="Times New Roman" w:hAnsi="Times New Roman"/>
          <w:sz w:val="24"/>
          <w:szCs w:val="24"/>
          <w:lang w:val="ru-RU"/>
        </w:rPr>
      </w:pPr>
      <w:r w:rsidRPr="005C0866">
        <w:rPr>
          <w:rFonts w:ascii="Times New Roman" w:hAnsi="Times New Roman"/>
          <w:sz w:val="24"/>
          <w:szCs w:val="24"/>
          <w:lang w:val="ru-RU"/>
        </w:rPr>
        <w:t>Условием для проведения индексации базовой части пенсии, согласно Закону Кыргызской Республики «О государственном пенсионном социальном страховании» №57</w:t>
      </w:r>
      <w:r w:rsidRPr="005C0866">
        <w:rPr>
          <w:sz w:val="24"/>
          <w:szCs w:val="24"/>
          <w:lang w:val="ru-RU"/>
        </w:rPr>
        <w:t xml:space="preserve"> </w:t>
      </w:r>
      <w:r w:rsidRPr="005C0866">
        <w:rPr>
          <w:rFonts w:ascii="Times New Roman" w:hAnsi="Times New Roman"/>
          <w:sz w:val="24"/>
          <w:szCs w:val="24"/>
          <w:lang w:val="ru-RU"/>
        </w:rPr>
        <w:t>от 21 июля 1997 года, является увеличение величины средней заработной платы по республике за предыдущий календарный год, предшествующий индексации. Базовая часть пенсии индексируется, если общий размер пенсии ниже величины прожиточного минимума пенсионера (фактически сложившейся за предыдущий календарный год).</w:t>
      </w:r>
    </w:p>
    <w:p w:rsidR="00BC5EBE" w:rsidRPr="005C0866" w:rsidRDefault="00BC5EBE" w:rsidP="00BC5EBE">
      <w:pPr>
        <w:spacing w:after="0" w:line="240" w:lineRule="auto"/>
        <w:ind w:firstLine="567"/>
        <w:rPr>
          <w:rFonts w:ascii="Times New Roman" w:hAnsi="Times New Roman"/>
          <w:b/>
          <w:sz w:val="24"/>
          <w:szCs w:val="24"/>
          <w:lang w:val="ru-RU"/>
        </w:rPr>
      </w:pPr>
      <w:r w:rsidRPr="005C0866">
        <w:rPr>
          <w:rFonts w:ascii="Times New Roman" w:hAnsi="Times New Roman"/>
          <w:b/>
          <w:sz w:val="24"/>
          <w:szCs w:val="24"/>
          <w:lang w:val="ru-RU"/>
        </w:rPr>
        <w:t>1.2.</w:t>
      </w:r>
      <w:r w:rsidRPr="005C0866">
        <w:rPr>
          <w:rFonts w:ascii="Times New Roman" w:hAnsi="Times New Roman"/>
          <w:b/>
          <w:sz w:val="24"/>
          <w:szCs w:val="24"/>
          <w:lang w:val="ru-RU"/>
        </w:rPr>
        <w:tab/>
        <w:t>Выплата компенсации за электроэнергию пенсионерам.</w:t>
      </w:r>
    </w:p>
    <w:p w:rsidR="00BC5EBE" w:rsidRPr="005C0866" w:rsidRDefault="00BC5EBE" w:rsidP="00BC5EBE">
      <w:pPr>
        <w:spacing w:after="0" w:line="240" w:lineRule="auto"/>
        <w:ind w:firstLine="567"/>
        <w:jc w:val="both"/>
        <w:rPr>
          <w:rFonts w:ascii="Times New Roman" w:hAnsi="Times New Roman"/>
          <w:sz w:val="24"/>
          <w:szCs w:val="24"/>
          <w:lang w:val="ru-RU"/>
        </w:rPr>
      </w:pPr>
      <w:r w:rsidRPr="005C0866">
        <w:rPr>
          <w:rFonts w:ascii="Times New Roman" w:hAnsi="Times New Roman"/>
          <w:sz w:val="24"/>
          <w:szCs w:val="24"/>
          <w:lang w:val="ru-RU"/>
        </w:rPr>
        <w:t>В рамках данной бюджетной меры производится выплата компенсации за электроэнергию пенсионерам с размерами пенсий до 4000 сомов. В данном документе не учтены возможные дополнительные расходы по компенсационным выплатам за электроэнергию при повышении тарифов на энергоносители.</w:t>
      </w:r>
    </w:p>
    <w:p w:rsidR="00BC5EBE" w:rsidRPr="005C0866" w:rsidRDefault="00BC5EBE" w:rsidP="00BC5EBE">
      <w:pPr>
        <w:spacing w:after="0" w:line="240" w:lineRule="auto"/>
        <w:ind w:firstLine="567"/>
        <w:jc w:val="both"/>
        <w:rPr>
          <w:rFonts w:ascii="Times New Roman" w:hAnsi="Times New Roman"/>
          <w:b/>
          <w:sz w:val="24"/>
          <w:szCs w:val="24"/>
          <w:lang w:val="ru-RU"/>
        </w:rPr>
      </w:pPr>
      <w:r w:rsidRPr="005C0866">
        <w:rPr>
          <w:rFonts w:ascii="Times New Roman" w:hAnsi="Times New Roman"/>
          <w:b/>
          <w:sz w:val="24"/>
          <w:szCs w:val="24"/>
          <w:lang w:val="ru-RU"/>
        </w:rPr>
        <w:t>1.3.</w:t>
      </w:r>
      <w:r w:rsidRPr="005C0866">
        <w:rPr>
          <w:rFonts w:ascii="Times New Roman" w:hAnsi="Times New Roman"/>
          <w:b/>
          <w:sz w:val="24"/>
          <w:szCs w:val="24"/>
          <w:lang w:val="ru-RU"/>
        </w:rPr>
        <w:tab/>
        <w:t>Пенсионное обеспечение военнослужащих, выплата сотрудникам органов внутренних дел и членам их семей единовременного пособия.</w:t>
      </w:r>
    </w:p>
    <w:p w:rsidR="00BC5EBE" w:rsidRPr="005C0866" w:rsidRDefault="00BC5EBE" w:rsidP="00BC5EBE">
      <w:pPr>
        <w:spacing w:after="0" w:line="240" w:lineRule="auto"/>
        <w:ind w:firstLine="567"/>
        <w:jc w:val="both"/>
        <w:rPr>
          <w:rFonts w:ascii="Times New Roman" w:hAnsi="Times New Roman"/>
          <w:sz w:val="24"/>
          <w:szCs w:val="24"/>
          <w:lang w:val="ru-RU"/>
        </w:rPr>
      </w:pPr>
      <w:r w:rsidRPr="005C0866">
        <w:rPr>
          <w:rFonts w:ascii="Times New Roman" w:hAnsi="Times New Roman"/>
          <w:sz w:val="24"/>
          <w:szCs w:val="24"/>
          <w:lang w:val="ru-RU"/>
        </w:rPr>
        <w:t>Данная бюджетная мера обеспечивает выплату пенсионного обеспечения военнослужащих и выплату сотрудникам органов внутренних дел и членам их семей единовременного пособия по страховому случаю (гибель, получение увечья).</w:t>
      </w:r>
    </w:p>
    <w:p w:rsidR="00BC5EBE" w:rsidRPr="005C0866" w:rsidRDefault="00BC5EBE" w:rsidP="00BC5EBE">
      <w:pPr>
        <w:spacing w:after="0" w:line="240" w:lineRule="auto"/>
        <w:ind w:firstLine="567"/>
        <w:jc w:val="both"/>
        <w:rPr>
          <w:rFonts w:ascii="Times New Roman" w:hAnsi="Times New Roman"/>
          <w:sz w:val="24"/>
          <w:szCs w:val="24"/>
          <w:lang w:val="ru-RU"/>
        </w:rPr>
      </w:pPr>
      <w:r w:rsidRPr="005C0866">
        <w:rPr>
          <w:rFonts w:ascii="Times New Roman" w:hAnsi="Times New Roman"/>
          <w:sz w:val="24"/>
          <w:szCs w:val="24"/>
          <w:lang w:val="ru-RU"/>
        </w:rPr>
        <w:t xml:space="preserve">Потребность сформирована </w:t>
      </w:r>
      <w:proofErr w:type="gramStart"/>
      <w:r w:rsidRPr="005C0866">
        <w:rPr>
          <w:rFonts w:ascii="Times New Roman" w:hAnsi="Times New Roman"/>
          <w:sz w:val="24"/>
          <w:szCs w:val="24"/>
          <w:lang w:val="ru-RU"/>
        </w:rPr>
        <w:t>согласно</w:t>
      </w:r>
      <w:proofErr w:type="gramEnd"/>
      <w:r w:rsidRPr="005C0866">
        <w:rPr>
          <w:rFonts w:ascii="Times New Roman" w:hAnsi="Times New Roman"/>
          <w:sz w:val="24"/>
          <w:szCs w:val="24"/>
          <w:lang w:val="ru-RU"/>
        </w:rPr>
        <w:t xml:space="preserve"> представленных данных силовых министерств и ведомств.</w:t>
      </w:r>
    </w:p>
    <w:p w:rsidR="00BC5EBE" w:rsidRPr="005C0866" w:rsidRDefault="00BC5EBE" w:rsidP="00BC5EBE">
      <w:pPr>
        <w:spacing w:after="0" w:line="240" w:lineRule="auto"/>
        <w:ind w:firstLine="567"/>
        <w:jc w:val="both"/>
        <w:rPr>
          <w:rFonts w:ascii="Times New Roman" w:hAnsi="Times New Roman"/>
          <w:b/>
          <w:sz w:val="24"/>
          <w:szCs w:val="24"/>
          <w:lang w:val="ru-RU"/>
        </w:rPr>
      </w:pPr>
      <w:r w:rsidRPr="005C0866">
        <w:rPr>
          <w:rFonts w:ascii="Times New Roman" w:hAnsi="Times New Roman"/>
          <w:b/>
          <w:sz w:val="24"/>
          <w:szCs w:val="24"/>
          <w:lang w:val="ru-RU"/>
        </w:rPr>
        <w:t>1.4.</w:t>
      </w:r>
      <w:r w:rsidRPr="005C0866">
        <w:rPr>
          <w:rFonts w:ascii="Times New Roman" w:hAnsi="Times New Roman"/>
          <w:b/>
          <w:sz w:val="24"/>
          <w:szCs w:val="24"/>
          <w:lang w:val="ru-RU"/>
        </w:rPr>
        <w:tab/>
        <w:t>Льготное (досрочное) пенсионное обеспечение отдельных категорий населения и выплата надбавок к пенсиям.</w:t>
      </w:r>
    </w:p>
    <w:p w:rsidR="00BC5EBE" w:rsidRPr="005C0866" w:rsidRDefault="00BC5EBE" w:rsidP="00BC5EBE">
      <w:pPr>
        <w:spacing w:after="0" w:line="240" w:lineRule="auto"/>
        <w:ind w:firstLine="567"/>
        <w:jc w:val="both"/>
        <w:rPr>
          <w:rFonts w:ascii="Times New Roman" w:hAnsi="Times New Roman"/>
          <w:sz w:val="24"/>
          <w:szCs w:val="24"/>
          <w:lang w:val="ru-RU"/>
        </w:rPr>
      </w:pPr>
      <w:r w:rsidRPr="005C0866">
        <w:rPr>
          <w:rFonts w:ascii="Times New Roman" w:hAnsi="Times New Roman"/>
          <w:sz w:val="24"/>
          <w:szCs w:val="24"/>
          <w:lang w:val="ru-RU"/>
        </w:rPr>
        <w:lastRenderedPageBreak/>
        <w:t>В рамках данной бюджетной меры производится выплата пенсий определённых категорий населения (многодетным матерям и матерям инвалидов с детства, за работу в условиях высокогорья, проживающим в отдаленных и труднодоступных районах) и выплата надбавок к пенсиям.</w:t>
      </w:r>
    </w:p>
    <w:p w:rsidR="00BC5EBE" w:rsidRPr="005C0866" w:rsidRDefault="00BC5EBE" w:rsidP="00BC5EBE">
      <w:pPr>
        <w:spacing w:after="0" w:line="240" w:lineRule="auto"/>
        <w:ind w:firstLine="567"/>
        <w:jc w:val="both"/>
        <w:rPr>
          <w:rFonts w:ascii="Times New Roman" w:hAnsi="Times New Roman"/>
          <w:sz w:val="24"/>
          <w:szCs w:val="24"/>
          <w:lang w:val="ru-RU"/>
        </w:rPr>
      </w:pPr>
      <w:r w:rsidRPr="005C0866">
        <w:rPr>
          <w:rFonts w:ascii="Times New Roman" w:hAnsi="Times New Roman"/>
          <w:sz w:val="24"/>
          <w:szCs w:val="24"/>
          <w:lang w:val="ru-RU"/>
        </w:rPr>
        <w:t>Увеличение объёма ассигнований из республиканского бюджета связано с планируемым ежегодным повышением размера базовой и страховой частей пенсии.</w:t>
      </w:r>
    </w:p>
    <w:p w:rsidR="00685979" w:rsidRPr="005C0866" w:rsidRDefault="00685979" w:rsidP="00685979">
      <w:pPr>
        <w:spacing w:after="0" w:line="240" w:lineRule="auto"/>
        <w:ind w:firstLine="567"/>
        <w:jc w:val="both"/>
        <w:rPr>
          <w:rFonts w:ascii="Times New Roman" w:hAnsi="Times New Roman"/>
          <w:b/>
          <w:sz w:val="10"/>
          <w:szCs w:val="24"/>
          <w:lang w:val="ru-RU"/>
        </w:rPr>
      </w:pPr>
    </w:p>
    <w:p w:rsidR="00685979" w:rsidRPr="005C0866" w:rsidRDefault="00685979" w:rsidP="00685979">
      <w:pPr>
        <w:spacing w:after="0" w:line="240" w:lineRule="auto"/>
        <w:ind w:firstLine="567"/>
        <w:jc w:val="both"/>
        <w:rPr>
          <w:rFonts w:ascii="Times New Roman" w:hAnsi="Times New Roman"/>
          <w:b/>
          <w:sz w:val="24"/>
          <w:szCs w:val="24"/>
          <w:lang w:val="ru-RU"/>
        </w:rPr>
      </w:pPr>
      <w:r w:rsidRPr="005C0866">
        <w:rPr>
          <w:rFonts w:ascii="Times New Roman" w:hAnsi="Times New Roman"/>
          <w:b/>
          <w:sz w:val="24"/>
          <w:szCs w:val="24"/>
          <w:lang w:val="ru-RU"/>
        </w:rPr>
        <w:t>Ожидаемые результаты реализации программы в среднесрочном периоде:</w:t>
      </w:r>
    </w:p>
    <w:p w:rsidR="00EC2E10" w:rsidRPr="005C0866" w:rsidRDefault="00BC5EBE" w:rsidP="00BC5EBE">
      <w:pPr>
        <w:spacing w:after="0" w:line="240" w:lineRule="auto"/>
        <w:ind w:firstLine="567"/>
        <w:jc w:val="both"/>
        <w:rPr>
          <w:rFonts w:ascii="Times New Roman" w:hAnsi="Times New Roman"/>
          <w:sz w:val="24"/>
          <w:szCs w:val="24"/>
          <w:lang w:val="ru-RU"/>
        </w:rPr>
      </w:pPr>
      <w:proofErr w:type="gramStart"/>
      <w:r w:rsidRPr="005C0866">
        <w:rPr>
          <w:rFonts w:ascii="Times New Roman" w:hAnsi="Times New Roman"/>
          <w:sz w:val="24"/>
          <w:szCs w:val="24"/>
          <w:lang w:val="ru-RU"/>
        </w:rPr>
        <w:t xml:space="preserve">В рамках достижения Целей устойчивого развития </w:t>
      </w:r>
      <w:r w:rsidR="00D35504" w:rsidRPr="005C0866">
        <w:rPr>
          <w:rFonts w:ascii="Times New Roman" w:hAnsi="Times New Roman"/>
          <w:sz w:val="24"/>
          <w:szCs w:val="24"/>
          <w:lang w:val="ru-RU"/>
        </w:rPr>
        <w:t xml:space="preserve">до </w:t>
      </w:r>
      <w:r w:rsidRPr="005C0866">
        <w:rPr>
          <w:rFonts w:ascii="Times New Roman" w:hAnsi="Times New Roman"/>
          <w:sz w:val="24"/>
          <w:szCs w:val="24"/>
          <w:lang w:val="ru-RU"/>
        </w:rPr>
        <w:t xml:space="preserve">2030 </w:t>
      </w:r>
      <w:r w:rsidR="00D35504" w:rsidRPr="005C0866">
        <w:rPr>
          <w:rFonts w:ascii="Times New Roman" w:hAnsi="Times New Roman"/>
          <w:sz w:val="24"/>
          <w:szCs w:val="24"/>
          <w:lang w:val="ru-RU"/>
        </w:rPr>
        <w:t xml:space="preserve">года </w:t>
      </w:r>
      <w:r w:rsidR="00EB0235" w:rsidRPr="005C0866">
        <w:rPr>
          <w:rFonts w:ascii="Times New Roman" w:hAnsi="Times New Roman"/>
          <w:sz w:val="24"/>
          <w:szCs w:val="24"/>
          <w:lang w:val="ru-RU"/>
        </w:rPr>
        <w:t>(пункт 1.3 главы 1.</w:t>
      </w:r>
      <w:proofErr w:type="gramEnd"/>
      <w:r w:rsidR="00EB0235" w:rsidRPr="005C0866">
        <w:rPr>
          <w:rFonts w:ascii="Times New Roman" w:hAnsi="Times New Roman"/>
          <w:sz w:val="24"/>
          <w:szCs w:val="24"/>
          <w:lang w:val="ru-RU"/>
        </w:rPr>
        <w:t xml:space="preserve"> </w:t>
      </w:r>
      <w:proofErr w:type="gramStart"/>
      <w:r w:rsidR="00EB0235" w:rsidRPr="005C0866">
        <w:rPr>
          <w:rFonts w:ascii="Times New Roman" w:hAnsi="Times New Roman"/>
          <w:sz w:val="24"/>
          <w:szCs w:val="24"/>
          <w:lang w:val="ru-RU"/>
        </w:rPr>
        <w:t>«Повсеместная ликвидация нищеты во всех ее формах») ожидаемым результат</w:t>
      </w:r>
      <w:r w:rsidR="005C0866" w:rsidRPr="005C0866">
        <w:rPr>
          <w:rFonts w:ascii="Times New Roman" w:hAnsi="Times New Roman"/>
          <w:sz w:val="24"/>
          <w:szCs w:val="24"/>
          <w:lang w:val="ru-RU"/>
        </w:rPr>
        <w:t>ом</w:t>
      </w:r>
      <w:r w:rsidR="00EB0235" w:rsidRPr="005C0866">
        <w:rPr>
          <w:rFonts w:ascii="Times New Roman" w:hAnsi="Times New Roman"/>
          <w:sz w:val="24"/>
          <w:szCs w:val="24"/>
          <w:lang w:val="ru-RU"/>
        </w:rPr>
        <w:t xml:space="preserve"> реализации программы </w:t>
      </w:r>
      <w:r w:rsidRPr="005C0866">
        <w:rPr>
          <w:rFonts w:ascii="Times New Roman" w:hAnsi="Times New Roman"/>
          <w:sz w:val="24"/>
          <w:szCs w:val="24"/>
          <w:lang w:val="ru-RU"/>
        </w:rPr>
        <w:t>явля</w:t>
      </w:r>
      <w:r w:rsidR="005C0866" w:rsidRPr="005C0866">
        <w:rPr>
          <w:rFonts w:ascii="Times New Roman" w:hAnsi="Times New Roman"/>
          <w:sz w:val="24"/>
          <w:szCs w:val="24"/>
          <w:lang w:val="ru-RU"/>
        </w:rPr>
        <w:t>е</w:t>
      </w:r>
      <w:r w:rsidRPr="005C0866">
        <w:rPr>
          <w:rFonts w:ascii="Times New Roman" w:hAnsi="Times New Roman"/>
          <w:sz w:val="24"/>
          <w:szCs w:val="24"/>
          <w:lang w:val="ru-RU"/>
        </w:rPr>
        <w:t xml:space="preserve">тся </w:t>
      </w:r>
      <w:r w:rsidR="00EC2E10" w:rsidRPr="005C0866">
        <w:rPr>
          <w:rFonts w:ascii="Times New Roman" w:hAnsi="Times New Roman"/>
          <w:sz w:val="24"/>
          <w:szCs w:val="24"/>
          <w:lang w:val="ru-RU"/>
        </w:rPr>
        <w:t>снижение численности пенсионеров, получающих пенсии ниже ПМП пенсионера</w:t>
      </w:r>
      <w:r w:rsidR="005C0866" w:rsidRPr="005C0866">
        <w:rPr>
          <w:rFonts w:ascii="Times New Roman" w:hAnsi="Times New Roman"/>
          <w:sz w:val="24"/>
          <w:szCs w:val="24"/>
          <w:lang w:val="ru-RU"/>
        </w:rPr>
        <w:t>.</w:t>
      </w:r>
      <w:proofErr w:type="gramEnd"/>
    </w:p>
    <w:p w:rsidR="00BC5EBE" w:rsidRPr="005C0866" w:rsidRDefault="00BC5EBE" w:rsidP="00BC5EBE">
      <w:pPr>
        <w:spacing w:after="0" w:line="240" w:lineRule="auto"/>
        <w:ind w:firstLine="567"/>
        <w:jc w:val="both"/>
        <w:rPr>
          <w:rFonts w:ascii="Times New Roman" w:hAnsi="Times New Roman"/>
          <w:sz w:val="24"/>
          <w:szCs w:val="24"/>
          <w:lang w:val="ru-RU"/>
        </w:rPr>
      </w:pPr>
      <w:r w:rsidRPr="005C0866">
        <w:rPr>
          <w:rFonts w:ascii="Times New Roman" w:hAnsi="Times New Roman"/>
          <w:sz w:val="24"/>
          <w:szCs w:val="24"/>
          <w:lang w:val="ru-RU"/>
        </w:rPr>
        <w:t>Целевые значения индикаторов результативности по программе и мерам приведены в Приложении 1 к настоящему документу.</w:t>
      </w:r>
    </w:p>
    <w:p w:rsidR="00685979" w:rsidRPr="005C0866" w:rsidRDefault="00685979" w:rsidP="00685979">
      <w:pPr>
        <w:spacing w:after="0" w:line="240" w:lineRule="auto"/>
        <w:ind w:firstLine="567"/>
        <w:jc w:val="both"/>
        <w:rPr>
          <w:rFonts w:ascii="Times New Roman" w:hAnsi="Times New Roman"/>
          <w:sz w:val="10"/>
          <w:szCs w:val="24"/>
          <w:lang w:val="ru-RU"/>
        </w:rPr>
      </w:pPr>
    </w:p>
    <w:p w:rsidR="00685979" w:rsidRPr="005C0866" w:rsidRDefault="00685979" w:rsidP="00685979">
      <w:pPr>
        <w:spacing w:after="0" w:line="240" w:lineRule="auto"/>
        <w:ind w:firstLine="567"/>
        <w:jc w:val="both"/>
        <w:rPr>
          <w:rFonts w:ascii="Times New Roman" w:hAnsi="Times New Roman"/>
          <w:sz w:val="24"/>
          <w:szCs w:val="24"/>
          <w:lang w:val="ru-RU"/>
        </w:rPr>
      </w:pPr>
      <w:r w:rsidRPr="005C0866">
        <w:rPr>
          <w:rFonts w:ascii="Times New Roman" w:hAnsi="Times New Roman"/>
          <w:sz w:val="24"/>
          <w:szCs w:val="24"/>
          <w:lang w:val="ru-RU"/>
        </w:rPr>
        <w:tab/>
        <w:t xml:space="preserve">Структура бюджетных расходов </w:t>
      </w:r>
      <w:r w:rsidR="000E457C" w:rsidRPr="005C0866">
        <w:rPr>
          <w:rFonts w:ascii="Times New Roman" w:hAnsi="Times New Roman"/>
          <w:sz w:val="24"/>
          <w:szCs w:val="24"/>
          <w:lang w:val="ru-RU"/>
        </w:rPr>
        <w:t>Социального фонда</w:t>
      </w:r>
      <w:r w:rsidRPr="005C0866">
        <w:rPr>
          <w:rFonts w:ascii="Times New Roman" w:hAnsi="Times New Roman"/>
          <w:sz w:val="24"/>
          <w:szCs w:val="24"/>
          <w:lang w:val="ru-RU"/>
        </w:rPr>
        <w:t xml:space="preserve"> </w:t>
      </w:r>
      <w:r w:rsidR="000D3EB7" w:rsidRPr="005C0866">
        <w:rPr>
          <w:rFonts w:ascii="Times New Roman" w:hAnsi="Times New Roman"/>
          <w:sz w:val="24"/>
          <w:szCs w:val="24"/>
          <w:lang w:val="ru-RU"/>
        </w:rPr>
        <w:t>Кыргызской Республики</w:t>
      </w:r>
      <w:r w:rsidRPr="005C0866">
        <w:rPr>
          <w:rFonts w:ascii="Times New Roman" w:hAnsi="Times New Roman"/>
          <w:sz w:val="24"/>
          <w:szCs w:val="24"/>
          <w:lang w:val="ru-RU"/>
        </w:rPr>
        <w:t>, финансируемых за счёт республиканского бюджета, приведена в нижеследующей диаграмме:</w:t>
      </w:r>
    </w:p>
    <w:p w:rsidR="000E457C" w:rsidRPr="005C0866" w:rsidRDefault="000E457C" w:rsidP="00685979">
      <w:pPr>
        <w:spacing w:after="0" w:line="240" w:lineRule="auto"/>
        <w:ind w:firstLine="567"/>
        <w:jc w:val="both"/>
        <w:rPr>
          <w:rFonts w:ascii="Times New Roman" w:hAnsi="Times New Roman"/>
          <w:sz w:val="10"/>
          <w:szCs w:val="28"/>
          <w:lang w:val="ru-RU"/>
        </w:rPr>
      </w:pPr>
    </w:p>
    <w:p w:rsidR="00A1031A" w:rsidRPr="005C0866" w:rsidRDefault="000E457C">
      <w:pPr>
        <w:rPr>
          <w:lang w:val="ru-RU"/>
        </w:rPr>
      </w:pPr>
      <w:r w:rsidRPr="005C0866">
        <w:rPr>
          <w:rFonts w:ascii="Times New Roman" w:hAnsi="Times New Roman"/>
          <w:noProof/>
          <w:sz w:val="28"/>
          <w:szCs w:val="28"/>
          <w:lang w:val="ru-RU" w:eastAsia="ru-RU"/>
        </w:rPr>
        <w:drawing>
          <wp:inline distT="0" distB="0" distL="0" distR="0" wp14:anchorId="5BFF32DA" wp14:editId="684ECB21">
            <wp:extent cx="5939624" cy="2798859"/>
            <wp:effectExtent l="0" t="0" r="23495" b="209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E457C" w:rsidRPr="005C0866" w:rsidRDefault="000E457C" w:rsidP="000E457C">
      <w:pPr>
        <w:spacing w:before="120" w:after="0" w:line="240" w:lineRule="auto"/>
        <w:ind w:firstLine="567"/>
        <w:jc w:val="right"/>
        <w:rPr>
          <w:rFonts w:ascii="Times New Roman" w:hAnsi="Times New Roman"/>
          <w:szCs w:val="28"/>
          <w:lang w:val="ru-RU"/>
        </w:rPr>
      </w:pPr>
      <w:r w:rsidRPr="005C0866">
        <w:rPr>
          <w:rFonts w:ascii="Times New Roman" w:hAnsi="Times New Roman"/>
          <w:szCs w:val="28"/>
          <w:lang w:val="ru-RU"/>
        </w:rPr>
        <w:t>(млн. сом)</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1734"/>
        <w:gridCol w:w="1735"/>
        <w:gridCol w:w="1734"/>
      </w:tblGrid>
      <w:tr w:rsidR="005C0866" w:rsidRPr="005C0866" w:rsidTr="005C0866">
        <w:trPr>
          <w:trHeight w:val="377"/>
        </w:trPr>
        <w:tc>
          <w:tcPr>
            <w:tcW w:w="4468" w:type="dxa"/>
            <w:shd w:val="clear" w:color="auto" w:fill="auto"/>
            <w:noWrap/>
            <w:hideMark/>
          </w:tcPr>
          <w:p w:rsidR="005C0866" w:rsidRPr="005C0866" w:rsidRDefault="005C0866" w:rsidP="000049EE">
            <w:pPr>
              <w:autoSpaceDE w:val="0"/>
              <w:autoSpaceDN w:val="0"/>
              <w:adjustRightInd w:val="0"/>
              <w:spacing w:before="120" w:after="0" w:line="240" w:lineRule="auto"/>
              <w:jc w:val="center"/>
              <w:rPr>
                <w:rFonts w:ascii="Times New Roman" w:hAnsi="Times New Roman"/>
                <w:b/>
                <w:bCs/>
                <w:szCs w:val="24"/>
                <w:lang w:val="ru-RU"/>
              </w:rPr>
            </w:pPr>
            <w:r w:rsidRPr="005C0866">
              <w:rPr>
                <w:rFonts w:ascii="Times New Roman" w:hAnsi="Times New Roman"/>
                <w:b/>
                <w:szCs w:val="24"/>
                <w:lang w:val="ru-RU"/>
              </w:rPr>
              <w:t>Бюджетные меры</w:t>
            </w:r>
          </w:p>
        </w:tc>
        <w:tc>
          <w:tcPr>
            <w:tcW w:w="1734" w:type="dxa"/>
            <w:shd w:val="clear" w:color="auto" w:fill="D9D9D9"/>
            <w:noWrap/>
            <w:vAlign w:val="center"/>
            <w:hideMark/>
          </w:tcPr>
          <w:p w:rsidR="005C0866" w:rsidRPr="005C0866" w:rsidRDefault="005C0866" w:rsidP="00CA41D0">
            <w:pPr>
              <w:autoSpaceDE w:val="0"/>
              <w:autoSpaceDN w:val="0"/>
              <w:adjustRightInd w:val="0"/>
              <w:spacing w:after="0" w:line="240" w:lineRule="auto"/>
              <w:jc w:val="center"/>
              <w:rPr>
                <w:rFonts w:ascii="Times New Roman" w:hAnsi="Times New Roman"/>
                <w:b/>
                <w:bCs/>
                <w:szCs w:val="24"/>
                <w:lang w:val="ru-RU"/>
              </w:rPr>
            </w:pPr>
            <w:r w:rsidRPr="005C0866">
              <w:rPr>
                <w:rFonts w:ascii="Times New Roman" w:hAnsi="Times New Roman"/>
                <w:b/>
                <w:bCs/>
                <w:szCs w:val="24"/>
                <w:lang w:val="ru-RU"/>
              </w:rPr>
              <w:t>2021 г.</w:t>
            </w:r>
          </w:p>
        </w:tc>
        <w:tc>
          <w:tcPr>
            <w:tcW w:w="1735" w:type="dxa"/>
            <w:shd w:val="clear" w:color="auto" w:fill="D9D9D9"/>
            <w:noWrap/>
            <w:vAlign w:val="center"/>
            <w:hideMark/>
          </w:tcPr>
          <w:p w:rsidR="005C0866" w:rsidRPr="005C0866" w:rsidRDefault="005C0866" w:rsidP="00CA41D0">
            <w:pPr>
              <w:autoSpaceDE w:val="0"/>
              <w:autoSpaceDN w:val="0"/>
              <w:adjustRightInd w:val="0"/>
              <w:spacing w:after="0" w:line="240" w:lineRule="auto"/>
              <w:jc w:val="center"/>
              <w:rPr>
                <w:rFonts w:ascii="Times New Roman" w:hAnsi="Times New Roman"/>
                <w:b/>
                <w:bCs/>
                <w:szCs w:val="24"/>
                <w:lang w:val="ru-RU"/>
              </w:rPr>
            </w:pPr>
            <w:r w:rsidRPr="005C0866">
              <w:rPr>
                <w:rFonts w:ascii="Times New Roman" w:hAnsi="Times New Roman"/>
                <w:b/>
                <w:bCs/>
                <w:szCs w:val="24"/>
                <w:lang w:val="ru-RU"/>
              </w:rPr>
              <w:t>2022 г.</w:t>
            </w:r>
          </w:p>
        </w:tc>
        <w:tc>
          <w:tcPr>
            <w:tcW w:w="1734" w:type="dxa"/>
            <w:shd w:val="clear" w:color="auto" w:fill="D9D9D9"/>
            <w:noWrap/>
            <w:vAlign w:val="center"/>
            <w:hideMark/>
          </w:tcPr>
          <w:p w:rsidR="005C0866" w:rsidRPr="005C0866" w:rsidRDefault="005C0866" w:rsidP="00CA41D0">
            <w:pPr>
              <w:autoSpaceDE w:val="0"/>
              <w:autoSpaceDN w:val="0"/>
              <w:adjustRightInd w:val="0"/>
              <w:spacing w:after="0" w:line="240" w:lineRule="auto"/>
              <w:jc w:val="center"/>
              <w:rPr>
                <w:rFonts w:ascii="Times New Roman" w:hAnsi="Times New Roman"/>
                <w:b/>
                <w:bCs/>
                <w:szCs w:val="24"/>
                <w:lang w:val="ru-RU"/>
              </w:rPr>
            </w:pPr>
            <w:r w:rsidRPr="005C0866">
              <w:rPr>
                <w:rFonts w:ascii="Times New Roman" w:hAnsi="Times New Roman"/>
                <w:b/>
                <w:bCs/>
                <w:szCs w:val="24"/>
                <w:lang w:val="ru-RU"/>
              </w:rPr>
              <w:t>2023 г.</w:t>
            </w:r>
          </w:p>
        </w:tc>
      </w:tr>
      <w:tr w:rsidR="005C0866" w:rsidRPr="005C0866" w:rsidTr="005C0866">
        <w:trPr>
          <w:trHeight w:val="420"/>
        </w:trPr>
        <w:tc>
          <w:tcPr>
            <w:tcW w:w="4468" w:type="dxa"/>
            <w:shd w:val="clear" w:color="auto" w:fill="auto"/>
            <w:noWrap/>
            <w:vAlign w:val="center"/>
            <w:hideMark/>
          </w:tcPr>
          <w:p w:rsidR="005C0866" w:rsidRPr="005C0866" w:rsidRDefault="005C0866" w:rsidP="00E75D4D">
            <w:pPr>
              <w:autoSpaceDE w:val="0"/>
              <w:autoSpaceDN w:val="0"/>
              <w:adjustRightInd w:val="0"/>
              <w:spacing w:after="0" w:line="240" w:lineRule="auto"/>
              <w:jc w:val="both"/>
              <w:rPr>
                <w:rFonts w:ascii="Times New Roman" w:hAnsi="Times New Roman"/>
                <w:sz w:val="20"/>
                <w:szCs w:val="20"/>
                <w:lang w:val="ru-RU"/>
              </w:rPr>
            </w:pPr>
            <w:r w:rsidRPr="005C0866">
              <w:rPr>
                <w:rFonts w:ascii="Times New Roman" w:hAnsi="Times New Roman"/>
                <w:sz w:val="20"/>
                <w:szCs w:val="20"/>
                <w:lang w:val="ru-RU"/>
              </w:rPr>
              <w:t>Обеспечение базовой части пенсии</w:t>
            </w:r>
          </w:p>
        </w:tc>
        <w:tc>
          <w:tcPr>
            <w:tcW w:w="1734" w:type="dxa"/>
            <w:shd w:val="clear" w:color="auto" w:fill="auto"/>
            <w:noWrap/>
            <w:vAlign w:val="center"/>
          </w:tcPr>
          <w:p w:rsidR="005C0866" w:rsidRPr="005C0866" w:rsidRDefault="005C0866" w:rsidP="00527AA5">
            <w:pPr>
              <w:spacing w:after="0"/>
              <w:jc w:val="center"/>
              <w:rPr>
                <w:rFonts w:ascii="Times New Roman" w:hAnsi="Times New Roman"/>
                <w:sz w:val="20"/>
              </w:rPr>
            </w:pPr>
            <w:r w:rsidRPr="005C0866">
              <w:rPr>
                <w:rFonts w:ascii="Times New Roman" w:hAnsi="Times New Roman"/>
                <w:sz w:val="20"/>
              </w:rPr>
              <w:t>14 235,4</w:t>
            </w:r>
          </w:p>
        </w:tc>
        <w:tc>
          <w:tcPr>
            <w:tcW w:w="1735" w:type="dxa"/>
            <w:shd w:val="clear" w:color="auto" w:fill="auto"/>
            <w:noWrap/>
            <w:vAlign w:val="center"/>
          </w:tcPr>
          <w:p w:rsidR="005C0866" w:rsidRPr="005C0866" w:rsidRDefault="005C0866" w:rsidP="00527AA5">
            <w:pPr>
              <w:spacing w:after="0"/>
              <w:jc w:val="center"/>
              <w:rPr>
                <w:rFonts w:ascii="Times New Roman" w:hAnsi="Times New Roman"/>
                <w:sz w:val="20"/>
              </w:rPr>
            </w:pPr>
            <w:r w:rsidRPr="005C0866">
              <w:rPr>
                <w:rFonts w:ascii="Times New Roman" w:hAnsi="Times New Roman"/>
                <w:sz w:val="20"/>
              </w:rPr>
              <w:t>14 986,6</w:t>
            </w:r>
          </w:p>
        </w:tc>
        <w:tc>
          <w:tcPr>
            <w:tcW w:w="1734" w:type="dxa"/>
            <w:shd w:val="clear" w:color="auto" w:fill="auto"/>
            <w:noWrap/>
            <w:vAlign w:val="center"/>
          </w:tcPr>
          <w:p w:rsidR="005C0866" w:rsidRPr="005C0866" w:rsidRDefault="005C0866" w:rsidP="00527AA5">
            <w:pPr>
              <w:spacing w:after="0"/>
              <w:jc w:val="center"/>
              <w:rPr>
                <w:rFonts w:ascii="Times New Roman" w:hAnsi="Times New Roman"/>
                <w:sz w:val="20"/>
              </w:rPr>
            </w:pPr>
            <w:r w:rsidRPr="005C0866">
              <w:rPr>
                <w:rFonts w:ascii="Times New Roman" w:hAnsi="Times New Roman"/>
                <w:sz w:val="20"/>
              </w:rPr>
              <w:t>15 781,8</w:t>
            </w:r>
          </w:p>
        </w:tc>
      </w:tr>
      <w:tr w:rsidR="005C0866" w:rsidRPr="005C0866" w:rsidTr="005C0866">
        <w:trPr>
          <w:trHeight w:val="361"/>
        </w:trPr>
        <w:tc>
          <w:tcPr>
            <w:tcW w:w="4468" w:type="dxa"/>
            <w:shd w:val="clear" w:color="auto" w:fill="auto"/>
            <w:vAlign w:val="center"/>
            <w:hideMark/>
          </w:tcPr>
          <w:p w:rsidR="005C0866" w:rsidRPr="005C0866" w:rsidRDefault="005C0866" w:rsidP="00E75D4D">
            <w:pPr>
              <w:autoSpaceDE w:val="0"/>
              <w:autoSpaceDN w:val="0"/>
              <w:adjustRightInd w:val="0"/>
              <w:spacing w:after="0" w:line="240" w:lineRule="auto"/>
              <w:jc w:val="both"/>
              <w:rPr>
                <w:rFonts w:ascii="Times New Roman" w:hAnsi="Times New Roman"/>
                <w:sz w:val="20"/>
                <w:szCs w:val="20"/>
                <w:lang w:val="ru-RU"/>
              </w:rPr>
            </w:pPr>
            <w:r w:rsidRPr="005C0866">
              <w:rPr>
                <w:rFonts w:ascii="Times New Roman" w:hAnsi="Times New Roman"/>
                <w:sz w:val="20"/>
                <w:szCs w:val="20"/>
                <w:lang w:val="ru-RU"/>
              </w:rPr>
              <w:t>Выплата компенсации за электроэнергию пенсионерам</w:t>
            </w:r>
          </w:p>
        </w:tc>
        <w:tc>
          <w:tcPr>
            <w:tcW w:w="1734" w:type="dxa"/>
            <w:shd w:val="clear" w:color="auto" w:fill="auto"/>
            <w:noWrap/>
            <w:vAlign w:val="center"/>
          </w:tcPr>
          <w:p w:rsidR="005C0866" w:rsidRPr="005C0866" w:rsidRDefault="005C0866" w:rsidP="00527AA5">
            <w:pPr>
              <w:spacing w:after="0"/>
              <w:jc w:val="center"/>
              <w:rPr>
                <w:rFonts w:ascii="Times New Roman" w:hAnsi="Times New Roman"/>
                <w:sz w:val="20"/>
              </w:rPr>
            </w:pPr>
            <w:r w:rsidRPr="005C0866">
              <w:rPr>
                <w:rFonts w:ascii="Times New Roman" w:hAnsi="Times New Roman"/>
                <w:sz w:val="20"/>
              </w:rPr>
              <w:t>1 954,3</w:t>
            </w:r>
          </w:p>
        </w:tc>
        <w:tc>
          <w:tcPr>
            <w:tcW w:w="1735" w:type="dxa"/>
            <w:shd w:val="clear" w:color="auto" w:fill="auto"/>
            <w:noWrap/>
            <w:vAlign w:val="center"/>
          </w:tcPr>
          <w:p w:rsidR="005C0866" w:rsidRPr="005C0866" w:rsidRDefault="005C0866" w:rsidP="00527AA5">
            <w:pPr>
              <w:spacing w:after="0"/>
              <w:jc w:val="center"/>
              <w:rPr>
                <w:rFonts w:ascii="Times New Roman" w:hAnsi="Times New Roman"/>
                <w:sz w:val="20"/>
              </w:rPr>
            </w:pPr>
            <w:r w:rsidRPr="005C0866">
              <w:rPr>
                <w:rFonts w:ascii="Times New Roman" w:hAnsi="Times New Roman"/>
                <w:sz w:val="20"/>
              </w:rPr>
              <w:t>1 997,2</w:t>
            </w:r>
          </w:p>
        </w:tc>
        <w:tc>
          <w:tcPr>
            <w:tcW w:w="1734" w:type="dxa"/>
            <w:shd w:val="clear" w:color="auto" w:fill="auto"/>
            <w:noWrap/>
            <w:vAlign w:val="center"/>
          </w:tcPr>
          <w:p w:rsidR="005C0866" w:rsidRPr="005C0866" w:rsidRDefault="005C0866" w:rsidP="00527AA5">
            <w:pPr>
              <w:spacing w:after="0"/>
              <w:jc w:val="center"/>
              <w:rPr>
                <w:rFonts w:ascii="Times New Roman" w:hAnsi="Times New Roman"/>
                <w:sz w:val="20"/>
              </w:rPr>
            </w:pPr>
            <w:r w:rsidRPr="005C0866">
              <w:rPr>
                <w:rFonts w:ascii="Times New Roman" w:hAnsi="Times New Roman"/>
                <w:sz w:val="20"/>
              </w:rPr>
              <w:t>2 039,7</w:t>
            </w:r>
          </w:p>
        </w:tc>
      </w:tr>
      <w:tr w:rsidR="005C0866" w:rsidRPr="005C0866" w:rsidTr="005C0866">
        <w:trPr>
          <w:trHeight w:val="354"/>
        </w:trPr>
        <w:tc>
          <w:tcPr>
            <w:tcW w:w="4468" w:type="dxa"/>
            <w:shd w:val="clear" w:color="auto" w:fill="auto"/>
            <w:vAlign w:val="center"/>
            <w:hideMark/>
          </w:tcPr>
          <w:p w:rsidR="005C0866" w:rsidRPr="005C0866" w:rsidRDefault="005C0866" w:rsidP="00E75D4D">
            <w:pPr>
              <w:autoSpaceDE w:val="0"/>
              <w:autoSpaceDN w:val="0"/>
              <w:adjustRightInd w:val="0"/>
              <w:spacing w:after="0" w:line="240" w:lineRule="auto"/>
              <w:jc w:val="both"/>
              <w:rPr>
                <w:rFonts w:ascii="Times New Roman" w:hAnsi="Times New Roman"/>
                <w:sz w:val="20"/>
                <w:szCs w:val="20"/>
                <w:lang w:val="ru-RU"/>
              </w:rPr>
            </w:pPr>
            <w:r w:rsidRPr="005C0866">
              <w:rPr>
                <w:rFonts w:ascii="Times New Roman" w:hAnsi="Times New Roman"/>
                <w:sz w:val="20"/>
                <w:szCs w:val="20"/>
                <w:lang w:val="ru-RU"/>
              </w:rPr>
              <w:t>Пенсионное обеспечение военнослужащих, выплата сотрудникам органов внутренних дел и членам их семей единовременного пособия</w:t>
            </w:r>
          </w:p>
        </w:tc>
        <w:tc>
          <w:tcPr>
            <w:tcW w:w="1734" w:type="dxa"/>
            <w:shd w:val="clear" w:color="auto" w:fill="auto"/>
            <w:noWrap/>
            <w:vAlign w:val="center"/>
          </w:tcPr>
          <w:p w:rsidR="005C0866" w:rsidRPr="005C0866" w:rsidRDefault="005C0866" w:rsidP="00527AA5">
            <w:pPr>
              <w:spacing w:after="0"/>
              <w:jc w:val="center"/>
              <w:rPr>
                <w:rFonts w:ascii="Times New Roman" w:hAnsi="Times New Roman"/>
                <w:sz w:val="20"/>
              </w:rPr>
            </w:pPr>
            <w:r w:rsidRPr="005C0866">
              <w:rPr>
                <w:rFonts w:ascii="Times New Roman" w:hAnsi="Times New Roman"/>
                <w:sz w:val="20"/>
              </w:rPr>
              <w:t>3 881,3</w:t>
            </w:r>
          </w:p>
        </w:tc>
        <w:tc>
          <w:tcPr>
            <w:tcW w:w="1735" w:type="dxa"/>
            <w:shd w:val="clear" w:color="auto" w:fill="auto"/>
            <w:noWrap/>
            <w:vAlign w:val="center"/>
          </w:tcPr>
          <w:p w:rsidR="005C0866" w:rsidRPr="005C0866" w:rsidRDefault="005C0866" w:rsidP="00527AA5">
            <w:pPr>
              <w:spacing w:after="0"/>
              <w:jc w:val="center"/>
              <w:rPr>
                <w:rFonts w:ascii="Times New Roman" w:hAnsi="Times New Roman"/>
                <w:sz w:val="20"/>
              </w:rPr>
            </w:pPr>
            <w:r w:rsidRPr="005C0866">
              <w:rPr>
                <w:rFonts w:ascii="Times New Roman" w:hAnsi="Times New Roman"/>
                <w:sz w:val="20"/>
              </w:rPr>
              <w:t>4 200,0</w:t>
            </w:r>
          </w:p>
        </w:tc>
        <w:tc>
          <w:tcPr>
            <w:tcW w:w="1734" w:type="dxa"/>
            <w:shd w:val="clear" w:color="auto" w:fill="auto"/>
            <w:noWrap/>
            <w:vAlign w:val="center"/>
          </w:tcPr>
          <w:p w:rsidR="005C0866" w:rsidRPr="005C0866" w:rsidRDefault="005C0866" w:rsidP="00527AA5">
            <w:pPr>
              <w:spacing w:after="0"/>
              <w:jc w:val="center"/>
              <w:rPr>
                <w:rFonts w:ascii="Times New Roman" w:hAnsi="Times New Roman"/>
                <w:sz w:val="20"/>
              </w:rPr>
            </w:pPr>
            <w:r w:rsidRPr="005C0866">
              <w:rPr>
                <w:rFonts w:ascii="Times New Roman" w:hAnsi="Times New Roman"/>
                <w:sz w:val="20"/>
              </w:rPr>
              <w:t>4 518,7</w:t>
            </w:r>
          </w:p>
        </w:tc>
      </w:tr>
      <w:tr w:rsidR="005C0866" w:rsidRPr="005C0866" w:rsidTr="005C0866">
        <w:trPr>
          <w:trHeight w:val="411"/>
        </w:trPr>
        <w:tc>
          <w:tcPr>
            <w:tcW w:w="4468" w:type="dxa"/>
            <w:tcBorders>
              <w:bottom w:val="single" w:sz="4" w:space="0" w:color="auto"/>
            </w:tcBorders>
            <w:shd w:val="clear" w:color="auto" w:fill="auto"/>
            <w:vAlign w:val="center"/>
            <w:hideMark/>
          </w:tcPr>
          <w:p w:rsidR="005C0866" w:rsidRPr="005C0866" w:rsidRDefault="005C0866" w:rsidP="00E75D4D">
            <w:pPr>
              <w:autoSpaceDE w:val="0"/>
              <w:autoSpaceDN w:val="0"/>
              <w:adjustRightInd w:val="0"/>
              <w:spacing w:after="0" w:line="240" w:lineRule="auto"/>
              <w:jc w:val="both"/>
              <w:rPr>
                <w:rFonts w:ascii="Times New Roman" w:hAnsi="Times New Roman"/>
                <w:sz w:val="20"/>
                <w:szCs w:val="20"/>
                <w:lang w:val="ru-RU"/>
              </w:rPr>
            </w:pPr>
            <w:r w:rsidRPr="005C0866">
              <w:rPr>
                <w:rFonts w:ascii="Times New Roman" w:hAnsi="Times New Roman"/>
                <w:sz w:val="20"/>
                <w:szCs w:val="20"/>
                <w:lang w:val="ru-RU"/>
              </w:rPr>
              <w:t>Льготное (досрочное) пенсионное обеспечение отдельных категорий населения и выплата надбавок к пенсиям</w:t>
            </w:r>
          </w:p>
        </w:tc>
        <w:tc>
          <w:tcPr>
            <w:tcW w:w="1734" w:type="dxa"/>
            <w:shd w:val="clear" w:color="auto" w:fill="auto"/>
            <w:noWrap/>
            <w:vAlign w:val="center"/>
          </w:tcPr>
          <w:p w:rsidR="005C0866" w:rsidRPr="005C0866" w:rsidRDefault="005C0866" w:rsidP="00527AA5">
            <w:pPr>
              <w:spacing w:after="0"/>
              <w:jc w:val="center"/>
              <w:rPr>
                <w:rFonts w:ascii="Times New Roman" w:hAnsi="Times New Roman"/>
                <w:sz w:val="20"/>
              </w:rPr>
            </w:pPr>
            <w:r w:rsidRPr="005C0866">
              <w:rPr>
                <w:rFonts w:ascii="Times New Roman" w:hAnsi="Times New Roman"/>
                <w:sz w:val="20"/>
              </w:rPr>
              <w:t>3 882,2</w:t>
            </w:r>
          </w:p>
        </w:tc>
        <w:tc>
          <w:tcPr>
            <w:tcW w:w="1735" w:type="dxa"/>
            <w:shd w:val="clear" w:color="auto" w:fill="auto"/>
            <w:noWrap/>
            <w:vAlign w:val="center"/>
          </w:tcPr>
          <w:p w:rsidR="005C0866" w:rsidRPr="005C0866" w:rsidRDefault="005C0866" w:rsidP="00527AA5">
            <w:pPr>
              <w:spacing w:after="0"/>
              <w:jc w:val="center"/>
              <w:rPr>
                <w:rFonts w:ascii="Times New Roman" w:hAnsi="Times New Roman"/>
                <w:sz w:val="20"/>
              </w:rPr>
            </w:pPr>
            <w:r w:rsidRPr="005C0866">
              <w:rPr>
                <w:rFonts w:ascii="Times New Roman" w:hAnsi="Times New Roman"/>
                <w:sz w:val="20"/>
              </w:rPr>
              <w:t>4 059,8</w:t>
            </w:r>
          </w:p>
        </w:tc>
        <w:tc>
          <w:tcPr>
            <w:tcW w:w="1734" w:type="dxa"/>
            <w:shd w:val="clear" w:color="auto" w:fill="auto"/>
            <w:noWrap/>
            <w:vAlign w:val="center"/>
          </w:tcPr>
          <w:p w:rsidR="005C0866" w:rsidRPr="005C0866" w:rsidRDefault="005C0866" w:rsidP="00527AA5">
            <w:pPr>
              <w:spacing w:after="0"/>
              <w:jc w:val="center"/>
              <w:rPr>
                <w:rFonts w:ascii="Times New Roman" w:hAnsi="Times New Roman"/>
                <w:sz w:val="20"/>
              </w:rPr>
            </w:pPr>
            <w:r w:rsidRPr="005C0866">
              <w:rPr>
                <w:rFonts w:ascii="Times New Roman" w:hAnsi="Times New Roman"/>
                <w:sz w:val="20"/>
              </w:rPr>
              <w:t>4 249,4</w:t>
            </w:r>
          </w:p>
        </w:tc>
      </w:tr>
      <w:tr w:rsidR="005C0866" w:rsidRPr="005C0866" w:rsidTr="005C0866">
        <w:trPr>
          <w:trHeight w:val="411"/>
        </w:trPr>
        <w:tc>
          <w:tcPr>
            <w:tcW w:w="4468" w:type="dxa"/>
            <w:shd w:val="clear" w:color="auto" w:fill="auto"/>
            <w:vAlign w:val="center"/>
          </w:tcPr>
          <w:p w:rsidR="005C0866" w:rsidRPr="005C0866" w:rsidRDefault="005C0866" w:rsidP="00E75D4D">
            <w:pPr>
              <w:spacing w:after="0"/>
              <w:rPr>
                <w:rFonts w:ascii="Times New Roman" w:hAnsi="Times New Roman"/>
                <w:b/>
                <w:sz w:val="20"/>
                <w:szCs w:val="24"/>
                <w:lang w:val="ru-RU"/>
              </w:rPr>
            </w:pPr>
            <w:r w:rsidRPr="005C0866">
              <w:rPr>
                <w:rFonts w:ascii="Times New Roman" w:hAnsi="Times New Roman"/>
                <w:b/>
                <w:sz w:val="20"/>
                <w:szCs w:val="24"/>
                <w:lang w:val="ru-RU"/>
              </w:rPr>
              <w:t>Всего</w:t>
            </w:r>
          </w:p>
        </w:tc>
        <w:tc>
          <w:tcPr>
            <w:tcW w:w="1734" w:type="dxa"/>
            <w:shd w:val="clear" w:color="auto" w:fill="auto"/>
            <w:noWrap/>
            <w:vAlign w:val="center"/>
          </w:tcPr>
          <w:p w:rsidR="005C0866" w:rsidRPr="005C0866" w:rsidRDefault="005C0866" w:rsidP="00527AA5">
            <w:pPr>
              <w:spacing w:after="0"/>
              <w:jc w:val="center"/>
              <w:rPr>
                <w:rFonts w:ascii="Times New Roman" w:hAnsi="Times New Roman"/>
                <w:sz w:val="20"/>
              </w:rPr>
            </w:pPr>
            <w:r w:rsidRPr="005C0866">
              <w:rPr>
                <w:rFonts w:ascii="Times New Roman" w:hAnsi="Times New Roman"/>
                <w:sz w:val="20"/>
              </w:rPr>
              <w:t>23 953,1</w:t>
            </w:r>
          </w:p>
        </w:tc>
        <w:tc>
          <w:tcPr>
            <w:tcW w:w="1735" w:type="dxa"/>
            <w:shd w:val="clear" w:color="auto" w:fill="auto"/>
            <w:noWrap/>
            <w:vAlign w:val="center"/>
          </w:tcPr>
          <w:p w:rsidR="005C0866" w:rsidRPr="005C0866" w:rsidRDefault="005C0866" w:rsidP="00527AA5">
            <w:pPr>
              <w:spacing w:after="0"/>
              <w:jc w:val="center"/>
              <w:rPr>
                <w:rFonts w:ascii="Times New Roman" w:hAnsi="Times New Roman"/>
                <w:sz w:val="20"/>
              </w:rPr>
            </w:pPr>
            <w:r w:rsidRPr="005C0866">
              <w:rPr>
                <w:rFonts w:ascii="Times New Roman" w:hAnsi="Times New Roman"/>
                <w:sz w:val="20"/>
              </w:rPr>
              <w:t>25 243,6</w:t>
            </w:r>
          </w:p>
        </w:tc>
        <w:tc>
          <w:tcPr>
            <w:tcW w:w="1734" w:type="dxa"/>
            <w:shd w:val="clear" w:color="auto" w:fill="auto"/>
            <w:noWrap/>
            <w:vAlign w:val="center"/>
          </w:tcPr>
          <w:p w:rsidR="005C0866" w:rsidRPr="005C0866" w:rsidRDefault="005C0866" w:rsidP="00527AA5">
            <w:pPr>
              <w:spacing w:after="0"/>
              <w:jc w:val="center"/>
              <w:rPr>
                <w:rFonts w:ascii="Times New Roman" w:hAnsi="Times New Roman"/>
                <w:sz w:val="20"/>
              </w:rPr>
            </w:pPr>
            <w:r w:rsidRPr="005C0866">
              <w:rPr>
                <w:rFonts w:ascii="Times New Roman" w:hAnsi="Times New Roman"/>
                <w:sz w:val="20"/>
              </w:rPr>
              <w:t>26 589,7</w:t>
            </w:r>
          </w:p>
        </w:tc>
      </w:tr>
    </w:tbl>
    <w:p w:rsidR="00685979" w:rsidRPr="005C0866" w:rsidRDefault="00685979" w:rsidP="00301076">
      <w:pPr>
        <w:spacing w:after="0" w:line="240" w:lineRule="auto"/>
        <w:ind w:firstLine="567"/>
        <w:rPr>
          <w:rFonts w:ascii="Times New Roman" w:hAnsi="Times New Roman"/>
          <w:sz w:val="24"/>
          <w:szCs w:val="28"/>
          <w:lang w:val="ru-RU"/>
        </w:rPr>
      </w:pPr>
      <w:bookmarkStart w:id="0" w:name="_GoBack"/>
      <w:bookmarkEnd w:id="0"/>
    </w:p>
    <w:sectPr w:rsidR="00685979" w:rsidRPr="005C0866" w:rsidSect="00C848C5">
      <w:pgSz w:w="11906" w:h="16838"/>
      <w:pgMar w:top="851"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20422"/>
    <w:multiLevelType w:val="hybridMultilevel"/>
    <w:tmpl w:val="637629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79"/>
    <w:rsid w:val="000049EE"/>
    <w:rsid w:val="000137FE"/>
    <w:rsid w:val="0005409E"/>
    <w:rsid w:val="000C2ADF"/>
    <w:rsid w:val="000D2B02"/>
    <w:rsid w:val="000D3EB7"/>
    <w:rsid w:val="000E457C"/>
    <w:rsid w:val="0012358C"/>
    <w:rsid w:val="001B4599"/>
    <w:rsid w:val="001C0956"/>
    <w:rsid w:val="00236740"/>
    <w:rsid w:val="002A328D"/>
    <w:rsid w:val="002F37F6"/>
    <w:rsid w:val="00301076"/>
    <w:rsid w:val="003A0F76"/>
    <w:rsid w:val="00502A12"/>
    <w:rsid w:val="00527AA5"/>
    <w:rsid w:val="00550BB8"/>
    <w:rsid w:val="00555025"/>
    <w:rsid w:val="00590538"/>
    <w:rsid w:val="005C0866"/>
    <w:rsid w:val="005E12E5"/>
    <w:rsid w:val="006537BA"/>
    <w:rsid w:val="00654CA7"/>
    <w:rsid w:val="00685979"/>
    <w:rsid w:val="00733929"/>
    <w:rsid w:val="00883985"/>
    <w:rsid w:val="00BC5EBE"/>
    <w:rsid w:val="00C22FDB"/>
    <w:rsid w:val="00C848C5"/>
    <w:rsid w:val="00CA0DD8"/>
    <w:rsid w:val="00CA41D0"/>
    <w:rsid w:val="00CA64FA"/>
    <w:rsid w:val="00CD6084"/>
    <w:rsid w:val="00D35504"/>
    <w:rsid w:val="00E75D4D"/>
    <w:rsid w:val="00EB0235"/>
    <w:rsid w:val="00EC2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979"/>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AB1">
    <w:name w:val="Bullet AB1"/>
    <w:basedOn w:val="a"/>
    <w:rsid w:val="00685979"/>
    <w:pPr>
      <w:tabs>
        <w:tab w:val="num" w:pos="360"/>
        <w:tab w:val="left" w:pos="1008"/>
      </w:tabs>
      <w:spacing w:after="60" w:line="240" w:lineRule="auto"/>
      <w:jc w:val="both"/>
    </w:pPr>
    <w:rPr>
      <w:rFonts w:ascii="Times New Roman" w:eastAsia="Times New Roman" w:hAnsi="Times New Roman"/>
      <w:snapToGrid w:val="0"/>
      <w:sz w:val="21"/>
      <w:szCs w:val="21"/>
      <w:lang w:val="en-GB" w:eastAsia="ru-RU"/>
    </w:rPr>
  </w:style>
  <w:style w:type="paragraph" w:styleId="a3">
    <w:name w:val="List Paragraph"/>
    <w:basedOn w:val="a"/>
    <w:qFormat/>
    <w:rsid w:val="00685979"/>
    <w:pPr>
      <w:ind w:left="720"/>
      <w:contextualSpacing/>
    </w:pPr>
  </w:style>
  <w:style w:type="paragraph" w:customStyle="1" w:styleId="tkTekst">
    <w:name w:val="_Текст обычный (tkTekst)"/>
    <w:basedOn w:val="a"/>
    <w:rsid w:val="00685979"/>
    <w:pPr>
      <w:spacing w:after="60"/>
      <w:ind w:firstLine="567"/>
      <w:jc w:val="both"/>
    </w:pPr>
    <w:rPr>
      <w:rFonts w:ascii="Arial" w:eastAsia="Times New Roman" w:hAnsi="Arial" w:cs="Arial"/>
      <w:sz w:val="20"/>
      <w:szCs w:val="20"/>
      <w:lang w:val="ru-RU" w:eastAsia="ru-RU"/>
    </w:rPr>
  </w:style>
  <w:style w:type="paragraph" w:styleId="a4">
    <w:name w:val="Balloon Text"/>
    <w:basedOn w:val="a"/>
    <w:link w:val="a5"/>
    <w:uiPriority w:val="99"/>
    <w:semiHidden/>
    <w:unhideWhenUsed/>
    <w:rsid w:val="000E457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E457C"/>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979"/>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AB1">
    <w:name w:val="Bullet AB1"/>
    <w:basedOn w:val="a"/>
    <w:rsid w:val="00685979"/>
    <w:pPr>
      <w:tabs>
        <w:tab w:val="num" w:pos="360"/>
        <w:tab w:val="left" w:pos="1008"/>
      </w:tabs>
      <w:spacing w:after="60" w:line="240" w:lineRule="auto"/>
      <w:jc w:val="both"/>
    </w:pPr>
    <w:rPr>
      <w:rFonts w:ascii="Times New Roman" w:eastAsia="Times New Roman" w:hAnsi="Times New Roman"/>
      <w:snapToGrid w:val="0"/>
      <w:sz w:val="21"/>
      <w:szCs w:val="21"/>
      <w:lang w:val="en-GB" w:eastAsia="ru-RU"/>
    </w:rPr>
  </w:style>
  <w:style w:type="paragraph" w:styleId="a3">
    <w:name w:val="List Paragraph"/>
    <w:basedOn w:val="a"/>
    <w:qFormat/>
    <w:rsid w:val="00685979"/>
    <w:pPr>
      <w:ind w:left="720"/>
      <w:contextualSpacing/>
    </w:pPr>
  </w:style>
  <w:style w:type="paragraph" w:customStyle="1" w:styleId="tkTekst">
    <w:name w:val="_Текст обычный (tkTekst)"/>
    <w:basedOn w:val="a"/>
    <w:rsid w:val="00685979"/>
    <w:pPr>
      <w:spacing w:after="60"/>
      <w:ind w:firstLine="567"/>
      <w:jc w:val="both"/>
    </w:pPr>
    <w:rPr>
      <w:rFonts w:ascii="Arial" w:eastAsia="Times New Roman" w:hAnsi="Arial" w:cs="Arial"/>
      <w:sz w:val="20"/>
      <w:szCs w:val="20"/>
      <w:lang w:val="ru-RU" w:eastAsia="ru-RU"/>
    </w:rPr>
  </w:style>
  <w:style w:type="paragraph" w:styleId="a4">
    <w:name w:val="Balloon Text"/>
    <w:basedOn w:val="a"/>
    <w:link w:val="a5"/>
    <w:uiPriority w:val="99"/>
    <w:semiHidden/>
    <w:unhideWhenUsed/>
    <w:rsid w:val="000E457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E457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0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Ассигнования из республиканского бюджета, млн. сом</a:t>
            </a:r>
          </a:p>
        </c:rich>
      </c:tx>
      <c:layout>
        <c:manualLayout>
          <c:xMode val="edge"/>
          <c:yMode val="edge"/>
          <c:x val="0.173662100456621"/>
          <c:y val="0"/>
        </c:manualLayout>
      </c:layout>
      <c:overlay val="0"/>
    </c:title>
    <c:autoTitleDeleted val="0"/>
    <c:plotArea>
      <c:layout>
        <c:manualLayout>
          <c:layoutTarget val="inner"/>
          <c:xMode val="edge"/>
          <c:yMode val="edge"/>
          <c:x val="2.0091324200913242E-2"/>
          <c:y val="0.4464743036152739"/>
          <c:w val="0.9616438356164384"/>
          <c:h val="0.45411446956227247"/>
        </c:manualLayout>
      </c:layout>
      <c:barChart>
        <c:barDir val="col"/>
        <c:grouping val="clustered"/>
        <c:varyColors val="0"/>
        <c:ser>
          <c:idx val="0"/>
          <c:order val="0"/>
          <c:tx>
            <c:strRef>
              <c:f>Лист1!$B$1</c:f>
              <c:strCache>
                <c:ptCount val="1"/>
                <c:pt idx="0">
                  <c:v>Базовая часть пенсии</c:v>
                </c:pt>
              </c:strCache>
            </c:strRef>
          </c:tx>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2021 г.</c:v>
                </c:pt>
                <c:pt idx="1">
                  <c:v>2022 г.</c:v>
                </c:pt>
                <c:pt idx="2">
                  <c:v>2023 г.</c:v>
                </c:pt>
              </c:strCache>
            </c:strRef>
          </c:cat>
          <c:val>
            <c:numRef>
              <c:f>Лист1!$B$2:$B$4</c:f>
              <c:numCache>
                <c:formatCode>0.0</c:formatCode>
                <c:ptCount val="3"/>
                <c:pt idx="0">
                  <c:v>14235.364599999999</c:v>
                </c:pt>
                <c:pt idx="1">
                  <c:v>14986.5553</c:v>
                </c:pt>
                <c:pt idx="2">
                  <c:v>15781.823400000001</c:v>
                </c:pt>
              </c:numCache>
            </c:numRef>
          </c:val>
        </c:ser>
        <c:ser>
          <c:idx val="1"/>
          <c:order val="1"/>
          <c:tx>
            <c:strRef>
              <c:f>Лист1!$C$1</c:f>
              <c:strCache>
                <c:ptCount val="1"/>
                <c:pt idx="0">
                  <c:v>Компенсация за электр. энергию </c:v>
                </c:pt>
              </c:strCache>
            </c:strRef>
          </c:tx>
          <c:invertIfNegative val="0"/>
          <c:dLbls>
            <c:dLbl>
              <c:idx val="0"/>
              <c:layout>
                <c:manualLayout>
                  <c:x val="-9.7985684380271462E-18"/>
                  <c:y val="2.797202797202797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678321678321667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378941742384535E-3"/>
                  <c:y val="1.118881118881108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118881118881108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2021 г.</c:v>
                </c:pt>
                <c:pt idx="1">
                  <c:v>2022 г.</c:v>
                </c:pt>
                <c:pt idx="2">
                  <c:v>2023 г.</c:v>
                </c:pt>
              </c:strCache>
            </c:strRef>
          </c:cat>
          <c:val>
            <c:numRef>
              <c:f>Лист1!$C$2:$C$4</c:f>
              <c:numCache>
                <c:formatCode>0.0</c:formatCode>
                <c:ptCount val="3"/>
                <c:pt idx="0">
                  <c:v>1954.2523999999999</c:v>
                </c:pt>
                <c:pt idx="1">
                  <c:v>1997.1773000000001</c:v>
                </c:pt>
                <c:pt idx="2">
                  <c:v>2039.7329999999999</c:v>
                </c:pt>
              </c:numCache>
            </c:numRef>
          </c:val>
        </c:ser>
        <c:ser>
          <c:idx val="2"/>
          <c:order val="2"/>
          <c:tx>
            <c:strRef>
              <c:f>Лист1!$D$1</c:f>
              <c:strCache>
                <c:ptCount val="1"/>
                <c:pt idx="0">
                  <c:v>Пенсии военнослужащим</c:v>
                </c:pt>
              </c:strCache>
            </c:strRef>
          </c:tx>
          <c:invertIfNegative val="0"/>
          <c:dLbls>
            <c:dLbl>
              <c:idx val="0"/>
              <c:layout>
                <c:manualLayout>
                  <c:x val="0"/>
                  <c:y val="-6.219433652587621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2021 г.</c:v>
                </c:pt>
                <c:pt idx="1">
                  <c:v>2022 г.</c:v>
                </c:pt>
                <c:pt idx="2">
                  <c:v>2023 г.</c:v>
                </c:pt>
              </c:strCache>
            </c:strRef>
          </c:cat>
          <c:val>
            <c:numRef>
              <c:f>Лист1!$D$2:$D$4</c:f>
              <c:numCache>
                <c:formatCode>0.0</c:formatCode>
                <c:ptCount val="3"/>
                <c:pt idx="0">
                  <c:v>3881.2534000000001</c:v>
                </c:pt>
                <c:pt idx="1">
                  <c:v>4199.9836999999998</c:v>
                </c:pt>
                <c:pt idx="2">
                  <c:v>4518.7250999999997</c:v>
                </c:pt>
              </c:numCache>
            </c:numRef>
          </c:val>
        </c:ser>
        <c:ser>
          <c:idx val="3"/>
          <c:order val="3"/>
          <c:tx>
            <c:strRef>
              <c:f>Лист1!$E$1</c:f>
              <c:strCache>
                <c:ptCount val="1"/>
                <c:pt idx="0">
                  <c:v>Надбавки к пенсиям </c:v>
                </c:pt>
              </c:strCache>
            </c:strRef>
          </c:tx>
          <c:invertIfNegative val="0"/>
          <c:dLbls>
            <c:dLbl>
              <c:idx val="0"/>
              <c:layout>
                <c:manualLayout>
                  <c:x val="0"/>
                  <c:y val="-3.3566433566433566E-2"/>
                </c:manualLayout>
              </c:layout>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7.838854750421717E-17"/>
                  <c:y val="-4.4755244755244755E-2"/>
                </c:manualLayout>
              </c:layout>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6.413682522715047E-3"/>
                  <c:y val="-2.7972027972028076E-2"/>
                </c:manualLayout>
              </c:layout>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0689470871191877E-2"/>
                  <c:y val="-1.6783216783216783E-2"/>
                </c:manualLayout>
              </c:layout>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2021 г.</c:v>
                </c:pt>
                <c:pt idx="1">
                  <c:v>2022 г.</c:v>
                </c:pt>
                <c:pt idx="2">
                  <c:v>2023 г.</c:v>
                </c:pt>
              </c:strCache>
            </c:strRef>
          </c:cat>
          <c:val>
            <c:numRef>
              <c:f>Лист1!$E$2:$E$4</c:f>
              <c:numCache>
                <c:formatCode>0.0</c:formatCode>
                <c:ptCount val="3"/>
                <c:pt idx="0">
                  <c:v>3882.2118</c:v>
                </c:pt>
                <c:pt idx="1">
                  <c:v>4059.8474000000001</c:v>
                </c:pt>
                <c:pt idx="2">
                  <c:v>4249.3872000000001</c:v>
                </c:pt>
              </c:numCache>
            </c:numRef>
          </c:val>
        </c:ser>
        <c:dLbls>
          <c:showLegendKey val="0"/>
          <c:showVal val="1"/>
          <c:showCatName val="0"/>
          <c:showSerName val="0"/>
          <c:showPercent val="0"/>
          <c:showBubbleSize val="0"/>
        </c:dLbls>
        <c:gapWidth val="150"/>
        <c:overlap val="-25"/>
        <c:axId val="320567168"/>
        <c:axId val="335502336"/>
      </c:barChart>
      <c:catAx>
        <c:axId val="320567168"/>
        <c:scaling>
          <c:orientation val="minMax"/>
        </c:scaling>
        <c:delete val="0"/>
        <c:axPos val="b"/>
        <c:numFmt formatCode="General" sourceLinked="1"/>
        <c:majorTickMark val="none"/>
        <c:minorTickMark val="none"/>
        <c:tickLblPos val="nextTo"/>
        <c:txPr>
          <a:bodyPr/>
          <a:lstStyle/>
          <a:p>
            <a:pPr>
              <a:defRPr b="1"/>
            </a:pPr>
            <a:endParaRPr lang="ru-RU"/>
          </a:p>
        </c:txPr>
        <c:crossAx val="335502336"/>
        <c:crosses val="autoZero"/>
        <c:auto val="1"/>
        <c:lblAlgn val="ctr"/>
        <c:lblOffset val="100"/>
        <c:noMultiLvlLbl val="0"/>
      </c:catAx>
      <c:valAx>
        <c:axId val="335502336"/>
        <c:scaling>
          <c:orientation val="minMax"/>
        </c:scaling>
        <c:delete val="1"/>
        <c:axPos val="l"/>
        <c:numFmt formatCode="0.0" sourceLinked="1"/>
        <c:majorTickMark val="out"/>
        <c:minorTickMark val="none"/>
        <c:tickLblPos val="nextTo"/>
        <c:crossAx val="320567168"/>
        <c:crosses val="autoZero"/>
        <c:crossBetween val="between"/>
      </c:valAx>
    </c:plotArea>
    <c:legend>
      <c:legendPos val="t"/>
      <c:layout>
        <c:manualLayout>
          <c:xMode val="edge"/>
          <c:yMode val="edge"/>
          <c:x val="0.16948770500427157"/>
          <c:y val="0.17183459060624415"/>
          <c:w val="0.67157854867286426"/>
          <c:h val="0.17954991109982221"/>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DA533-758D-4602-B3B1-2CDA790B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6690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Ишанкулов</dc:creator>
  <cp:lastModifiedBy>Азамат Ишанкулов</cp:lastModifiedBy>
  <cp:revision>2</cp:revision>
  <cp:lastPrinted>2020-04-15T04:57:00Z</cp:lastPrinted>
  <dcterms:created xsi:type="dcterms:W3CDTF">2020-04-15T11:08:00Z</dcterms:created>
  <dcterms:modified xsi:type="dcterms:W3CDTF">2020-04-15T11:08:00Z</dcterms:modified>
</cp:coreProperties>
</file>